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3E5C76"/>
          <w:sz w:val="16"/>
        </w:rPr>
        <w:t>AI GOVERNANCE REVIEW PACK · A10</w:t>
      </w:r>
    </w:p>
    <w:p>
      <w:pPr>
        <w:pStyle w:val="Heading1"/>
      </w:pPr>
      <w:r>
        <w:t>Optional ISO/IEC 42001 readiness check (excerpt)</w:t>
      </w:r>
    </w:p>
    <w:p>
      <w:r>
        <w:rPr>
          <w:b/>
        </w:rPr>
        <w:t xml:space="preserve">Fictional organisation, illustrative only, not a client case study. </w:t>
      </w:r>
      <w:r>
        <w:t>Quillmarrow Supplies Pte. Ltd. (fictional) is invented. All people are shown by role only.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Organisation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Quillmarrow Supplies Pte. Ltd. (fictional)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Document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A10 · Optional ISO/IEC 42001 readiness check (excerpt)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Version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1.0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Date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30 October 2026 (illustrative)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Prepared by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Alex Lew, reviewer and sign-off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Client approver (role)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Chief Operating Officer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Label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Fictional organisation, illustrative only, not a client case study</w:t>
            </w:r>
          </w:p>
        </w:tc>
      </w:tr>
    </w:tbl>
    <w:p/>
    <w:p>
      <w:r>
        <w:rPr>
          <w:b/>
        </w:rPr>
        <w:t>Readiness check only.</w:t>
      </w:r>
      <w:r>
        <w:rPr/>
        <w:t xml:space="preserve"> This excerpt considers readiness against </w:t>
      </w:r>
      <w:r>
        <w:rPr>
          <w:b/>
        </w:rPr>
        <w:t>ISO/IEC 42001:2023 Artificial intelligence - Management system</w:t>
      </w:r>
      <w:r>
        <w:rPr/>
        <w:t xml:space="preserve"> and identifies documentation and control gaps. It is not an audit and does not provide certification. Certification is voluntary and is carried out by independent certification bodies, not ISO.</w:t>
      </w:r>
    </w:p>
    <w:p>
      <w:r>
        <w:rPr/>
        <w:t>The assessment is limited to the information in this illustrative review. It does not establish whether Quillmarrow conforms to the standard. A document prepared in this pack is a starting point; it is not, by itself, evidence that management approved it or that a control operates.</w:t>
      </w:r>
    </w:p>
    <w:p>
      <w:r>
        <w:rPr/>
        <w:t xml:space="preserve">The readiness labels mean: </w:t>
      </w:r>
      <w:r>
        <w:rPr>
          <w:b/>
        </w:rPr>
        <w:t>Not started</w:t>
      </w:r>
      <w:r>
        <w:rPr/>
        <w:t xml:space="preserve"> — no relevant evidence supplied; </w:t>
      </w:r>
      <w:r>
        <w:rPr>
          <w:b/>
        </w:rPr>
        <w:t>Partial</w:t>
      </w:r>
      <w:r>
        <w:rPr/>
        <w:t xml:space="preserve"> — some relevant information or proposed material is available, but significant evidence or decisions are missing; </w:t>
      </w:r>
      <w:r>
        <w:rPr>
          <w:b/>
        </w:rPr>
        <w:t>In place</w:t>
      </w:r>
      <w:r>
        <w:rPr/>
        <w:t xml:space="preserve"> — the relevant arrangement and its operation are supported by sufficient evidence within the scope checked. A label is not an audit opinion.</w:t>
      </w:r>
    </w:p>
    <w:p>
      <w:pPr>
        <w:pStyle w:val="Heading2"/>
      </w:pPr>
      <w:r>
        <w:t>Clauses 4 to 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</w:trPr>
        <w:tc>
          <w:tcPr>
            <w:tcW w:type="dxa" w:w="1644"/>
            <w:shd w:val="clear" w:color="auto" w:fill="E9EDF1"/>
          </w:tcPr>
          <w:p>
            <w:r>
              <w:rPr>
                <w:b/>
                <w:sz w:val="16"/>
              </w:rPr>
              <w:t>Clause</w:t>
            </w:r>
          </w:p>
        </w:tc>
        <w:tc>
          <w:tcPr>
            <w:tcW w:type="dxa" w:w="1644"/>
            <w:shd w:val="clear" w:color="auto" w:fill="E9EDF1"/>
          </w:tcPr>
          <w:p>
            <w:r>
              <w:rPr>
                <w:b/>
                <w:sz w:val="16"/>
              </w:rPr>
              <w:t>What it expects, in plain words</w:t>
            </w:r>
          </w:p>
        </w:tc>
        <w:tc>
          <w:tcPr>
            <w:tcW w:type="dxa" w:w="1644"/>
            <w:shd w:val="clear" w:color="auto" w:fill="E9EDF1"/>
          </w:tcPr>
          <w:p>
            <w:r>
              <w:rPr>
                <w:b/>
                <w:sz w:val="16"/>
              </w:rPr>
              <w:t>What Quillmarrow has now</w:t>
            </w:r>
          </w:p>
        </w:tc>
        <w:tc>
          <w:tcPr>
            <w:tcW w:type="dxa" w:w="1644"/>
            <w:shd w:val="clear" w:color="auto" w:fill="E9EDF1"/>
          </w:tcPr>
          <w:p>
            <w:r>
              <w:rPr>
                <w:b/>
                <w:sz w:val="16"/>
              </w:rPr>
              <w:t>Readiness</w:t>
            </w:r>
          </w:p>
        </w:tc>
        <w:tc>
          <w:tcPr>
            <w:tcW w:type="dxa" w:w="1644"/>
            <w:shd w:val="clear" w:color="auto" w:fill="E9EDF1"/>
          </w:tcPr>
          <w:p>
            <w:r>
              <w:rPr>
                <w:b/>
                <w:sz w:val="16"/>
              </w:rPr>
              <w:t>Gap</w:t>
            </w:r>
          </w:p>
        </w:tc>
        <w:tc>
          <w:tcPr>
            <w:tcW w:type="dxa" w:w="1644"/>
            <w:shd w:val="clear" w:color="auto" w:fill="E9EDF1"/>
          </w:tcPr>
          <w:p>
            <w:r>
              <w:rPr>
                <w:b/>
                <w:sz w:val="16"/>
              </w:rPr>
              <w:t>Pack deliverable that helps</w:t>
            </w:r>
          </w:p>
        </w:tc>
      </w:tr>
      <w:tr>
        <w:tc>
          <w:tcPr>
            <w:tcW w:type="dxa" w:w="1644"/>
          </w:tcPr>
          <w:p>
            <w:r>
              <w:rPr>
                <w:b/>
                <w:sz w:val="16"/>
              </w:rPr>
              <w:t>4 Context of the organisation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Understand the organisation’s circumstances, interested parties and the intended boundaries of its AI management system.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The case describes Quillmarrow’s business, technology, supplier relationship and reasons for the review; the register identifies 20 uses.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Partial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A documented organisation-wide management-system scope, interested-party analysis and their relevant expectations have not been supplied.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A1 Engagement scope sheet; A2 AI use register</w:t>
            </w:r>
          </w:p>
        </w:tc>
      </w:tr>
      <w:tr>
        <w:tc>
          <w:tcPr>
            <w:tcW w:type="dxa" w:w="1644"/>
          </w:tcPr>
          <w:p>
            <w:r>
              <w:rPr>
                <w:b/>
                <w:sz w:val="16"/>
              </w:rPr>
              <w:t>5 Leadership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Management should give the AI management system direction, assign responsibilities and support its operation.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The COO is the programme sponsor, use owners are named and the MD approves High-tier uses. A policy is prepared for management approval.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Partial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Evidence of policy approval, organisation-wide management-system responsibilities and continuing leadership review has not been supplied.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A4 AI-use policy; A9 Management report and action plan</w:t>
            </w:r>
          </w:p>
        </w:tc>
      </w:tr>
      <w:tr>
        <w:tc>
          <w:tcPr>
            <w:tcW w:type="dxa" w:w="1644"/>
          </w:tcPr>
          <w:p>
            <w:r>
              <w:rPr>
                <w:b/>
                <w:sz w:val="16"/>
              </w:rPr>
              <w:t>6 Planning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Plan how to address relevant risks and opportunities, set objectives and manage changes.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The register uses working tiers; the pack includes a risk-tiering method and three identified impact assessments.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Partial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Organisation-wide objectives, a documented planning process and evidence that planned actions are tracked have not been supplied.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A3 Practical risk tiering; A5 AI impact assessments; A9 Management report and action plan</w:t>
            </w:r>
          </w:p>
        </w:tc>
      </w:tr>
      <w:tr>
        <w:tc>
          <w:tcPr>
            <w:tcW w:type="dxa" w:w="1644"/>
          </w:tcPr>
          <w:p>
            <w:r>
              <w:rPr>
                <w:b/>
                <w:sz w:val="16"/>
              </w:rPr>
              <w:t>7 Support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Provide the resources, competence, communication and documented information needed to operate the system.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Roles are identified and the proposed policy addresses staff guidance and acknowledgement. Selected evidence exists for individual uses.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Partial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A competence plan, training and acknowledgement records, document-control arrangements and evidence of resources have not been supplied.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A4 AI-use policy; A6 Human oversight decision matrix</w:t>
            </w:r>
          </w:p>
        </w:tc>
      </w:tr>
      <w:tr>
        <w:tc>
          <w:tcPr>
            <w:tcW w:type="dxa" w:w="1644"/>
          </w:tcPr>
          <w:p>
            <w:r>
              <w:rPr>
                <w:b/>
                <w:sz w:val="16"/>
              </w:rPr>
              <w:t>8 Operation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Put planned processes and controls into practice and manage AI-related risks through operation and change.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Oversight is specified in the register; AI-03 has an approval-gate requirement and an agent-control specification. Evidence for several uses remains incomplete.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Partial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For AI-03, technical bounds, approval workflow and test evidence are missing. Operational evidence for other controls and a consistent change process are also incomplete.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A5 AI impact assessments; A6 Human oversight decision matrix; A8 Agent governance checklist</w:t>
            </w:r>
          </w:p>
        </w:tc>
      </w:tr>
      <w:tr>
        <w:tc>
          <w:tcPr>
            <w:tcW w:type="dxa" w:w="1644"/>
          </w:tcPr>
          <w:p>
            <w:r>
              <w:rPr>
                <w:b/>
                <w:sz w:val="16"/>
              </w:rPr>
              <w:t>9 Performance evaluation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Monitor and evaluate whether the management system and its controls are working, and provide management with the results.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AI-14 has a forecast method note, override log and quarterly accuracy check. AI-10 has configuration, posting-permission and reconciliation evidence.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Partial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These examples do not establish organisation-wide evaluation. A management-system monitoring plan, internal audit evidence and management review records have not been supplied.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A2 AI use register; A6 Human oversight decision matrix; A9 Management report and action plan</w:t>
            </w:r>
          </w:p>
        </w:tc>
      </w:tr>
      <w:tr>
        <w:tc>
          <w:tcPr>
            <w:tcW w:type="dxa" w:w="1644"/>
          </w:tcPr>
          <w:p>
            <w:r>
              <w:rPr>
                <w:b/>
                <w:sz w:val="16"/>
              </w:rPr>
              <w:t>10 Improvement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Address problems, make corrections and improve the management system over time.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The proposed policy provides an incident-reporting route, and the action plan can record owners and follow-up. A shared-folder near-miss is identified as a review trigger.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Partial</w:t>
            </w:r>
          </w:p>
        </w:tc>
        <w:tc>
          <w:tcPr>
            <w:tcW w:type="dxa" w:w="1644"/>
          </w:tcPr>
          <w:p>
            <w:r>
              <w:rPr>
                <w:sz w:val="16"/>
              </w:rPr>
              <w:t>Records showing how issues are investigated, corrected, checked for effectiveness and used to improve the system have not been supplied.</w:t>
            </w:r>
          </w:p>
        </w:tc>
        <w:tc>
          <w:tcPr>
            <w:tcW w:type="dxa" w:w="1644"/>
          </w:tcPr>
          <w:p>
            <w:r>
              <w:rPr>
                <w:b/>
                <w:sz w:val="16"/>
              </w:rPr>
              <w:t>A4 AI-use policy; A9 Management report and action plan</w:t>
            </w:r>
          </w:p>
        </w:tc>
      </w:tr>
    </w:tbl>
    <w:p/>
    <w:p>
      <w:r>
        <w:rPr/>
        <w:t xml:space="preserve">The register identifies complete evidence for </w:t>
      </w:r>
      <w:r>
        <w:rPr>
          <w:b/>
        </w:rPr>
        <w:t>AI-07, AI-10, AI-14 and AI-18</w:t>
      </w:r>
      <w:r>
        <w:rPr/>
        <w:t>. This supports consideration of those specific uses; it does not demonstrate that a whole management-system clause is in place. Evidence for AI-13 and AI-15 is missing, while the remaining register entries are partial.</w:t>
      </w:r>
    </w:p>
    <w:p>
      <w:pPr>
        <w:pStyle w:val="Heading2"/>
      </w:pPr>
      <w:r>
        <w:t>Annex A themes</w:t>
      </w:r>
    </w:p>
    <w:p>
      <w:r>
        <w:rPr/>
        <w:t>The following are plain-language themes for further consideration, not a control-by-control assessment. No Annex A control numbers are assigned here.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Theme</w:t>
            </w:r>
          </w:p>
        </w:tc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Readiness</w:t>
            </w:r>
          </w:p>
        </w:tc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Illustrative position</w:t>
            </w:r>
          </w:p>
        </w:tc>
      </w:tr>
      <w:tr>
        <w:tc>
          <w:tcPr>
            <w:tcW w:type="dxa" w:w="3289"/>
          </w:tcPr>
          <w:p>
            <w:r>
              <w:rPr>
                <w:b/>
                <w:sz w:val="16"/>
              </w:rPr>
              <w:t>Policies for AI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Partial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A staff AI-use policy is prepared for approval; approval and communication records are not supplied.</w:t>
            </w:r>
          </w:p>
        </w:tc>
      </w:tr>
      <w:tr>
        <w:tc>
          <w:tcPr>
            <w:tcW w:type="dxa" w:w="3289"/>
          </w:tcPr>
          <w:p>
            <w:r>
              <w:rPr>
                <w:b/>
                <w:sz w:val="16"/>
              </w:rPr>
              <w:t>Internal organisation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Partial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The COO, use owners and MD have defined roles; wider management-system responsibilities need documenting.</w:t>
            </w:r>
          </w:p>
        </w:tc>
      </w:tr>
      <w:tr>
        <w:tc>
          <w:tcPr>
            <w:tcW w:type="dxa" w:w="3289"/>
          </w:tcPr>
          <w:p>
            <w:r>
              <w:rPr>
                <w:b/>
                <w:sz w:val="16"/>
              </w:rPr>
              <w:t>Resources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Partial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The review identifies tools and responsible roles; a documented competence and resource assessment is missing.</w:t>
            </w:r>
          </w:p>
        </w:tc>
      </w:tr>
      <w:tr>
        <w:tc>
          <w:tcPr>
            <w:tcW w:type="dxa" w:w="3289"/>
          </w:tcPr>
          <w:p>
            <w:r>
              <w:rPr>
                <w:b/>
                <w:sz w:val="16"/>
              </w:rPr>
              <w:t>Impact assessment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Partial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AIA-01, AIA-02 and AIA-03 are identified; assessment findings and supporting evidence are not all supplied.</w:t>
            </w:r>
          </w:p>
        </w:tc>
      </w:tr>
      <w:tr>
        <w:tc>
          <w:tcPr>
            <w:tcW w:type="dxa" w:w="3289"/>
          </w:tcPr>
          <w:p>
            <w:r>
              <w:rPr>
                <w:b/>
                <w:sz w:val="16"/>
              </w:rPr>
              <w:t>AI system life cycle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Partial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The pack proposes approval, monitoring and change controls; consistent operation across the life cycle is not evidenced.</w:t>
            </w:r>
          </w:p>
        </w:tc>
      </w:tr>
      <w:tr>
        <w:tc>
          <w:tcPr>
            <w:tcW w:type="dxa" w:w="3289"/>
          </w:tcPr>
          <w:p>
            <w:r>
              <w:rPr>
                <w:b/>
                <w:sz w:val="16"/>
              </w:rPr>
              <w:t>Data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Partial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Information categories and data-handling questions are identified; several vendor flows, settings and retention arrangements remain unconfirmed.</w:t>
            </w:r>
          </w:p>
        </w:tc>
      </w:tr>
      <w:tr>
        <w:tc>
          <w:tcPr>
            <w:tcW w:type="dxa" w:w="3289"/>
          </w:tcPr>
          <w:p>
            <w:r>
              <w:rPr>
                <w:b/>
                <w:sz w:val="16"/>
              </w:rPr>
              <w:t>Information for interested parties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Partial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The enterprise customer questionnaire and proposed applicant and customer communications identify needs; approved communications and their use are not evidenced.</w:t>
            </w:r>
          </w:p>
        </w:tc>
      </w:tr>
      <w:tr>
        <w:tc>
          <w:tcPr>
            <w:tcW w:type="dxa" w:w="3289"/>
          </w:tcPr>
          <w:p>
            <w:r>
              <w:rPr>
                <w:b/>
                <w:sz w:val="16"/>
              </w:rPr>
              <w:t>Use of AI systems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Partial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The register records statuses and intended human oversight; operation of several gates and checks remains unverified.</w:t>
            </w:r>
          </w:p>
        </w:tc>
      </w:tr>
      <w:tr>
        <w:tc>
          <w:tcPr>
            <w:tcW w:type="dxa" w:w="3289"/>
          </w:tcPr>
          <w:p>
            <w:r>
              <w:rPr>
                <w:b/>
                <w:sz w:val="16"/>
              </w:rPr>
              <w:t>Third-party relationships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Partial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Vendor due diligence is requested, and partner data-processing terms for AI-18 are confirmed; evidence for other vendors remains incomplete.</w:t>
            </w:r>
          </w:p>
        </w:tc>
      </w:tr>
    </w:tbl>
    <w:p/>
    <w:p>
      <w:pPr>
        <w:pStyle w:val="Heading2"/>
      </w:pPr>
      <w:r>
        <w:t>What a full readiness engagement would add</w:t>
      </w:r>
    </w:p>
    <w:p>
      <w:r>
        <w:rPr/>
        <w:t xml:space="preserve">A full readiness engagement would be </w:t>
      </w:r>
      <w:r>
        <w:rPr>
          <w:b/>
        </w:rPr>
        <w:t>organisation-wide and separately quoted before it starts</w:t>
      </w:r>
      <w:r>
        <w:rPr/>
        <w:t>. It would agree the intended management-system boundary; examine the organisation’s context, governance and objectives; and review relevant documented processes and evidence across the business.</w:t>
      </w:r>
    </w:p>
    <w:p>
      <w:r>
        <w:rPr/>
        <w:t>It would also consider applicable Annex A themes in greater depth, interview control owners, trace selected controls to supporting records, and develop a prioritised gap and action plan. Its scope and methods would be agreed separately. It would remain a readiness engagement, not certification or a guarantee of a certification outcome.</w:t>
      </w:r>
    </w:p>
    <w:p>
      <w:pPr>
        <w:pStyle w:val="Heading2"/>
      </w:pPr>
      <w:r>
        <w:t>Suggested order of work</w:t>
      </w:r>
    </w:p>
    <w:p>
      <w:pPr>
        <w:pStyle w:val="ListNumber"/>
      </w:pPr>
      <w:r>
        <w:rPr>
          <w:b/>
        </w:rPr>
        <w:t>Set the boundary.</w:t>
      </w:r>
      <w:r>
        <w:t xml:space="preserve"> The COO should agree the intended AI management-system scope, relevant business activities and interested parties, including the Malaysia fulfilment relationship.</w:t>
      </w:r>
    </w:p>
    <w:p>
      <w:pPr>
        <w:pStyle w:val="ListNumber"/>
      </w:pPr>
      <w:r>
        <w:rPr>
          <w:b/>
        </w:rPr>
        <w:t>Confirm leadership and ownership.</w:t>
      </w:r>
      <w:r>
        <w:t xml:space="preserve"> Ask the MD to consider the proposed policy, confirm responsibilities and decide how management will oversee High-tier uses and unresolved gaps.</w:t>
      </w:r>
    </w:p>
    <w:p>
      <w:pPr>
        <w:pStyle w:val="ListNumber"/>
      </w:pPr>
      <w:r>
        <w:rPr>
          <w:b/>
        </w:rPr>
        <w:t>Complete the evidence inventory.</w:t>
      </w:r>
      <w:r>
        <w:t xml:space="preserve"> Use the register to identify missing settings, vendor terms, assessments and operating records; retain existing restrictions while gaps remain.</w:t>
      </w:r>
    </w:p>
    <w:p>
      <w:pPr>
        <w:pStyle w:val="ListNumber"/>
      </w:pPr>
      <w:r>
        <w:rPr>
          <w:b/>
        </w:rPr>
        <w:t>Put priority controls into operation.</w:t>
      </w:r>
      <w:r>
        <w:t xml:space="preserve"> Address AI-03’s approval and technical-control evidence, maintain the AI-04 hold, and define monitoring and intervention records for the other uses.</w:t>
      </w:r>
    </w:p>
    <w:p>
      <w:pPr>
        <w:pStyle w:val="ListNumber"/>
      </w:pPr>
      <w:r>
        <w:rPr>
          <w:b/>
        </w:rPr>
        <w:t>Establish review and improvement.</w:t>
      </w:r>
      <w:r>
        <w:t xml:space="preserve"> Agree objectives, staff guidance, monitoring, issue follow-up and management review; retain evidence of decisions and check whether corrective actions work.</w:t>
      </w:r>
    </w:p>
    <w:p>
      <w:pPr>
        <w:pStyle w:val="Heading2"/>
      </w:pPr>
      <w:r>
        <w:t>About this sample</w:t>
      </w:r>
    </w:p>
    <w:p>
      <w:r>
        <w:rPr>
          <w:b/>
        </w:rPr>
        <w:t>Fictional organisation, illustrative only, not a client case study.</w:t>
      </w:r>
      <w:r>
        <w:rPr/>
        <w:t xml:space="preserve"> Quillmarrow Supplies Pte. Ltd., its people, vendors, findings and dates are invented. Nothing in this document reports a client result.</w:t>
      </w:r>
    </w:p>
    <w:p>
      <w:r>
        <w:rPr/>
        <w:t>I personally review and sign off every deliverable. You appoint your own DPO. I support them.</w:t>
      </w:r>
    </w:p>
    <w:p>
      <w:r>
        <w:rPr/>
        <w:t>This is practical compliance support, not legal advice. For legal advice, use a Singapore-qualified lawyer.</w:t>
      </w:r>
    </w:p>
    <w:p>
      <w:r>
        <w:rPr>
          <w:b/>
        </w:rPr>
        <w:t>What's not included</w:t>
      </w:r>
    </w:p>
    <w:p>
      <w:pPr>
        <w:pStyle w:val="ListBullet"/>
      </w:pPr>
      <w:r>
        <w:t>Legal advice, legal opinions on vendor terms or regulatory representation.</w:t>
      </w:r>
    </w:p>
    <w:p>
      <w:pPr>
        <w:pStyle w:val="ListBullet"/>
      </w:pPr>
      <w:r>
        <w:t>AI Verify technical testing, model benchmarking, penetration testing or security engineering, unless the relevant work is separately scoped.</w:t>
      </w:r>
    </w:p>
    <w:p>
      <w:pPr>
        <w:pStyle w:val="ListBullet"/>
      </w:pPr>
      <w:r>
        <w:t>Building an AI system, implementing integrations or changing live permissions and configurations.</w:t>
      </w:r>
    </w:p>
    <w:p>
      <w:pPr>
        <w:pStyle w:val="ListBullet"/>
      </w:pPr>
      <w:r>
        <w:t>Certification, a compliance guarantee or an assurance that a model cannot fail.</w:t>
      </w:r>
    </w:p>
    <w:p>
      <w:pPr>
        <w:pStyle w:val="ListBullet"/>
      </w:pPr>
      <w:r>
        <w:t>An organisation-wide ISO/IEC 42001 readiness engagement unless expressly included in the quote.</w:t>
      </w:r>
    </w:p>
    <w:p>
      <w:pPr>
        <w:pStyle w:val="ListBullet"/>
      </w:pPr>
      <w:r>
        <w:t>Healthcare-sector work or on-site delivery.</w:t>
      </w:r>
    </w:p>
    <w:p>
      <w:r>
        <w:rPr/>
        <w:t>ISO/IEC 42001 work is a readiness check only, never certification. Questions about this sample: DM @alewyl1 on X, or ask for a free intro call (coffee chat).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670"/>
        <w:sz w:val="15"/>
      </w:rPr>
      <w:t xml:space="preserve">Fictional organisation, illustrative only, not a client case study · Not legal advice · Page </w:t>
    </w:r>
    <w:r>
      <w:fldChar w:fldCharType="begin"/>
    </w:r>
    <w:r>
      <w:instrText xml:space="preserve">PAGE</w:instrText>
    </w:r>
    <w:r>
      <w:fldChar w:fldCharType="end"/>
    </w:r>
    <w:r>
      <w:rPr>
        <w:sz w:val="15"/>
      </w:rPr>
      <w:t xml:space="preserve"> of </w:t>
    </w:r>
    <w:r>
      <w:fldChar w:fldCharType="begin"/>
    </w:r>
    <w:r>
      <w:instrText xml:space="preserve">NUMPAGES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670"/>
        <w:sz w:val="15"/>
      </w:rPr>
      <w:t>Quillmarrow Supplies Pte. Ltd. (fictional) · AI governance review · A10 ·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F29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3A5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1F3A5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mbria" w:hAnsi="Cambria"/>
      <w:b/>
      <w:bCs/>
      <w:color w:val="1F3A5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 Optional ISO/IEC 42001 readiness check (excerpt)</dc:title>
  <dc:subject>Fictional organisation, illustrative only, not a client case study</dc:subject>
  <dc:creator>Alex Lew</dc:creator>
  <cp:keywords>AI governance; sample; fictional</cp:keywords>
  <dc:description>Fictional organisation, illustrative only, not a client case study</dc:description>
  <cp:lastModifiedBy>Alex Lew</cp:lastModifiedBy>
  <cp:revision>1</cp:revision>
  <dcterms:created xsi:type="dcterms:W3CDTF">2026-10-30T09:00:00Z</dcterms:created>
  <dcterms:modified xsi:type="dcterms:W3CDTF">2026-10-30T09:00:00Z</dcterms:modified>
  <cp:category>Sample</cp:category>
</cp:coreProperties>
</file>