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3E5C76"/>
          <w:sz w:val="16"/>
        </w:rPr>
        <w:t>AI GOVERNANCE REVIEW PACK · A2</w:t>
      </w:r>
    </w:p>
    <w:p>
      <w:pPr>
        <w:pStyle w:val="Heading1"/>
      </w:pPr>
      <w:r>
        <w:t>AI use register</w:t>
      </w:r>
    </w:p>
    <w:p>
      <w:r>
        <w:rPr>
          <w:b/>
        </w:rPr>
        <w:t xml:space="preserve">Fictional organisation, illustrative only, not a client case study. </w:t>
      </w:r>
      <w:r>
        <w:t>Quillmarrow Supplies Pte. Ltd. (fictional) is invented. All people are shown by role only.</w:t>
      </w:r>
    </w:p>
    <w:tbl>
      <w:tblPr>
        <w:tblStyle w:val="TableGrid"/>
        <w:tblW w:type="auto" w:w="0"/>
        <w:tblLook w:firstColumn="1" w:firstRow="1" w:lastColumn="0" w:lastRow="0" w:noHBand="0" w:noVBand="1" w:val="04A0"/>
      </w:tblPr>
      <w:tblGrid>
        <w:gridCol w:w="7399"/>
        <w:gridCol w:w="7399"/>
      </w:tblGrid>
      <w:tr>
        <w:trPr>
          <w:tblHeader w:val="true"/>
        </w:trPr>
        <w:tc>
          <w:tcPr>
            <w:tcW w:type="dxa" w:w="7399"/>
            <w:shd w:val="clear" w:color="auto" w:fill="E9EDF1"/>
          </w:tcPr>
          <w:p>
            <w:r>
              <w:rPr>
                <w:b/>
                <w:sz w:val="14"/>
              </w:rPr>
              <w:t>Organisation</w:t>
            </w:r>
          </w:p>
        </w:tc>
        <w:tc>
          <w:tcPr>
            <w:tcW w:type="dxa" w:w="7399"/>
          </w:tcPr>
          <w:p>
            <w:r>
              <w:rPr>
                <w:sz w:val="14"/>
              </w:rPr>
              <w:t>Quillmarrow Supplies Pte. Ltd. (fictional)</w:t>
            </w:r>
          </w:p>
        </w:tc>
      </w:tr>
      <w:tr>
        <w:tc>
          <w:tcPr>
            <w:tcW w:type="dxa" w:w="7399"/>
            <w:shd w:val="clear" w:color="auto" w:fill="E9EDF1"/>
          </w:tcPr>
          <w:p>
            <w:r>
              <w:rPr>
                <w:b/>
                <w:sz w:val="14"/>
              </w:rPr>
              <w:t>Document</w:t>
            </w:r>
          </w:p>
        </w:tc>
        <w:tc>
          <w:tcPr>
            <w:tcW w:type="dxa" w:w="7399"/>
          </w:tcPr>
          <w:p>
            <w:r>
              <w:rPr>
                <w:sz w:val="14"/>
              </w:rPr>
              <w:t>A2 · AI use register</w:t>
            </w:r>
          </w:p>
        </w:tc>
      </w:tr>
      <w:tr>
        <w:tc>
          <w:tcPr>
            <w:tcW w:type="dxa" w:w="7399"/>
            <w:shd w:val="clear" w:color="auto" w:fill="E9EDF1"/>
          </w:tcPr>
          <w:p>
            <w:r>
              <w:rPr>
                <w:b/>
                <w:sz w:val="14"/>
              </w:rPr>
              <w:t>Version</w:t>
            </w:r>
          </w:p>
        </w:tc>
        <w:tc>
          <w:tcPr>
            <w:tcW w:type="dxa" w:w="7399"/>
          </w:tcPr>
          <w:p>
            <w:r>
              <w:rPr>
                <w:sz w:val="14"/>
              </w:rPr>
              <w:t>1.0</w:t>
            </w:r>
          </w:p>
        </w:tc>
      </w:tr>
      <w:tr>
        <w:tc>
          <w:tcPr>
            <w:tcW w:type="dxa" w:w="7399"/>
            <w:shd w:val="clear" w:color="auto" w:fill="E9EDF1"/>
          </w:tcPr>
          <w:p>
            <w:r>
              <w:rPr>
                <w:b/>
                <w:sz w:val="14"/>
              </w:rPr>
              <w:t>Date</w:t>
            </w:r>
          </w:p>
        </w:tc>
        <w:tc>
          <w:tcPr>
            <w:tcW w:type="dxa" w:w="7399"/>
          </w:tcPr>
          <w:p>
            <w:r>
              <w:rPr>
                <w:sz w:val="14"/>
              </w:rPr>
              <w:t>30 October 2026 (illustrative)</w:t>
            </w:r>
          </w:p>
        </w:tc>
      </w:tr>
      <w:tr>
        <w:tc>
          <w:tcPr>
            <w:tcW w:type="dxa" w:w="7399"/>
            <w:shd w:val="clear" w:color="auto" w:fill="E9EDF1"/>
          </w:tcPr>
          <w:p>
            <w:r>
              <w:rPr>
                <w:b/>
                <w:sz w:val="14"/>
              </w:rPr>
              <w:t>Prepared by</w:t>
            </w:r>
          </w:p>
        </w:tc>
        <w:tc>
          <w:tcPr>
            <w:tcW w:type="dxa" w:w="7399"/>
          </w:tcPr>
          <w:p>
            <w:r>
              <w:rPr>
                <w:sz w:val="14"/>
              </w:rPr>
              <w:t>Alex Lew, reviewer and sign-off</w:t>
            </w:r>
          </w:p>
        </w:tc>
      </w:tr>
      <w:tr>
        <w:tc>
          <w:tcPr>
            <w:tcW w:type="dxa" w:w="7399"/>
            <w:shd w:val="clear" w:color="auto" w:fill="E9EDF1"/>
          </w:tcPr>
          <w:p>
            <w:r>
              <w:rPr>
                <w:b/>
                <w:sz w:val="14"/>
              </w:rPr>
              <w:t>Client approver (role)</w:t>
            </w:r>
          </w:p>
        </w:tc>
        <w:tc>
          <w:tcPr>
            <w:tcW w:type="dxa" w:w="7399"/>
          </w:tcPr>
          <w:p>
            <w:r>
              <w:rPr>
                <w:sz w:val="14"/>
              </w:rPr>
              <w:t>Chief Operating Officer</w:t>
            </w:r>
          </w:p>
        </w:tc>
      </w:tr>
      <w:tr>
        <w:tc>
          <w:tcPr>
            <w:tcW w:type="dxa" w:w="7399"/>
            <w:shd w:val="clear" w:color="auto" w:fill="E9EDF1"/>
          </w:tcPr>
          <w:p>
            <w:r>
              <w:rPr>
                <w:b/>
                <w:sz w:val="14"/>
              </w:rPr>
              <w:t>Label</w:t>
            </w:r>
          </w:p>
        </w:tc>
        <w:tc>
          <w:tcPr>
            <w:tcW w:type="dxa" w:w="7399"/>
          </w:tcPr>
          <w:p>
            <w:r>
              <w:rPr>
                <w:sz w:val="14"/>
              </w:rPr>
              <w:t>Fictional organisation, illustrative only, not a client case study</w:t>
            </w:r>
          </w:p>
        </w:tc>
      </w:tr>
    </w:tbl>
    <w:p/>
    <w:p>
      <w:r>
        <w:rPr/>
        <w:t>This register records every AI use agreed in scope at Quillmarrow: what it is for, who owns it, what information it handles, what it may do, its working risk tier, the human check that applies, how it maps to the reference frameworks, what evidence is still missing, and what event forces a re-review.</w:t>
      </w:r>
    </w:p>
    <w:p>
      <w:r>
        <w:rPr/>
        <w:t>The register is the single list management works from. The Chief Operating Officer owns it. Each business owner keeps their row current, and any new tool or newly enabled vendor feature is added before use. The full register, with all columns and filters, is supplied as an XLSX workbook. This print version splits the columns across two tables.</w:t>
      </w:r>
    </w:p>
    <w:p>
      <w:r>
        <w:rPr/>
        <w:t>Risk tiers are working categories for Quillmarrow, set using the practical risk tiering method (A3). They are not statutory classifications. Evidence status shows exactly what was and was not supplied during the review. Missing evidence stays visible.</w:t>
      </w:r>
    </w:p>
    <w:p>
      <w:r>
        <w:rPr/>
        <w:t>Framework tags use short names: MGF 2020 is the Model AI Governance Framework, Second Edition (January 2020); GenAI MGF 2024 is the Model AI Governance Framework for Generative AI (May 2024); Agentic MGF 2026 is the Model AI Governance Framework for Agentic AI (January 2026); PDPC AI Guidelines 2024 are the PDPC Advisory Guidelines on Use of Personal Data in AI Recommendation and Decision Systems (March 2024); AI Verify refers to the 11 principles of the AI Verify testing framework.</w:t>
      </w:r>
    </w:p>
    <w:p>
      <w:pPr>
        <w:pStyle w:val="Heading2"/>
      </w:pPr>
      <w:r>
        <w:t>Register, part 1: use, ownership, data and oversight</w:t>
      </w:r>
    </w:p>
    <w:tbl>
      <w:tblPr>
        <w:tblStyle w:val="TableGrid"/>
        <w:tblW w:type="auto" w:w="0"/>
        <w:tblLook w:firstColumn="1" w:firstRow="1" w:lastColumn="0" w:lastRow="0" w:noHBand="0" w:noVBand="1" w:val="04A0"/>
      </w:tblPr>
      <w:tblGrid>
        <w:gridCol w:w="1480"/>
        <w:gridCol w:w="1480"/>
        <w:gridCol w:w="1480"/>
        <w:gridCol w:w="1480"/>
        <w:gridCol w:w="1480"/>
        <w:gridCol w:w="1480"/>
        <w:gridCol w:w="1480"/>
        <w:gridCol w:w="1480"/>
        <w:gridCol w:w="1480"/>
        <w:gridCol w:w="1480"/>
      </w:tblGrid>
      <w:tr>
        <w:trPr>
          <w:tblHeader w:val="true"/>
        </w:trPr>
        <w:tc>
          <w:tcPr>
            <w:tcW w:type="dxa" w:w="1480"/>
            <w:shd w:val="clear" w:color="auto" w:fill="E9EDF1"/>
          </w:tcPr>
          <w:p>
            <w:r>
              <w:rPr>
                <w:b/>
                <w:sz w:val="14"/>
              </w:rPr>
              <w:t>ID</w:t>
            </w:r>
          </w:p>
        </w:tc>
        <w:tc>
          <w:tcPr>
            <w:tcW w:type="dxa" w:w="1480"/>
            <w:shd w:val="clear" w:color="auto" w:fill="E9EDF1"/>
          </w:tcPr>
          <w:p>
            <w:r>
              <w:rPr>
                <w:b/>
                <w:sz w:val="14"/>
              </w:rPr>
              <w:t>Use</w:t>
            </w:r>
          </w:p>
        </w:tc>
        <w:tc>
          <w:tcPr>
            <w:tcW w:type="dxa" w:w="1480"/>
            <w:shd w:val="clear" w:color="auto" w:fill="E9EDF1"/>
          </w:tcPr>
          <w:p>
            <w:r>
              <w:rPr>
                <w:b/>
                <w:sz w:val="14"/>
              </w:rPr>
              <w:t>Tool or vendor</w:t>
            </w:r>
          </w:p>
        </w:tc>
        <w:tc>
          <w:tcPr>
            <w:tcW w:type="dxa" w:w="1480"/>
            <w:shd w:val="clear" w:color="auto" w:fill="E9EDF1"/>
          </w:tcPr>
          <w:p>
            <w:r>
              <w:rPr>
                <w:b/>
                <w:sz w:val="14"/>
              </w:rPr>
              <w:t>Owner role</w:t>
            </w:r>
          </w:p>
        </w:tc>
        <w:tc>
          <w:tcPr>
            <w:tcW w:type="dxa" w:w="1480"/>
            <w:shd w:val="clear" w:color="auto" w:fill="E9EDF1"/>
          </w:tcPr>
          <w:p>
            <w:r>
              <w:rPr>
                <w:b/>
                <w:sz w:val="14"/>
              </w:rPr>
              <w:t>Users</w:t>
            </w:r>
          </w:p>
        </w:tc>
        <w:tc>
          <w:tcPr>
            <w:tcW w:type="dxa" w:w="1480"/>
            <w:shd w:val="clear" w:color="auto" w:fill="E9EDF1"/>
          </w:tcPr>
          <w:p>
            <w:r>
              <w:rPr>
                <w:b/>
                <w:sz w:val="14"/>
              </w:rPr>
              <w:t>Data categories</w:t>
            </w:r>
          </w:p>
        </w:tc>
        <w:tc>
          <w:tcPr>
            <w:tcW w:type="dxa" w:w="1480"/>
            <w:shd w:val="clear" w:color="auto" w:fill="E9EDF1"/>
          </w:tcPr>
          <w:p>
            <w:r>
              <w:rPr>
                <w:b/>
                <w:sz w:val="14"/>
              </w:rPr>
              <w:t>Permissions</w:t>
            </w:r>
          </w:p>
        </w:tc>
        <w:tc>
          <w:tcPr>
            <w:tcW w:type="dxa" w:w="1480"/>
            <w:shd w:val="clear" w:color="auto" w:fill="E9EDF1"/>
          </w:tcPr>
          <w:p>
            <w:r>
              <w:rPr>
                <w:b/>
                <w:sz w:val="14"/>
              </w:rPr>
              <w:t>Risk tier</w:t>
            </w:r>
          </w:p>
        </w:tc>
        <w:tc>
          <w:tcPr>
            <w:tcW w:type="dxa" w:w="1480"/>
            <w:shd w:val="clear" w:color="auto" w:fill="E9EDF1"/>
          </w:tcPr>
          <w:p>
            <w:r>
              <w:rPr>
                <w:b/>
                <w:sz w:val="14"/>
              </w:rPr>
              <w:t>Human check</w:t>
            </w:r>
          </w:p>
        </w:tc>
        <w:tc>
          <w:tcPr>
            <w:tcW w:type="dxa" w:w="1480"/>
            <w:shd w:val="clear" w:color="auto" w:fill="E9EDF1"/>
          </w:tcPr>
          <w:p>
            <w:r>
              <w:rPr>
                <w:b/>
                <w:sz w:val="14"/>
              </w:rPr>
              <w:t>Status</w:t>
            </w:r>
          </w:p>
        </w:tc>
      </w:tr>
      <w:tr>
        <w:tc>
          <w:tcPr>
            <w:tcW w:type="dxa" w:w="1480"/>
          </w:tcPr>
          <w:p>
            <w:r>
              <w:rPr>
                <w:sz w:val="14"/>
              </w:rPr>
              <w:t>AI-01</w:t>
            </w:r>
          </w:p>
        </w:tc>
        <w:tc>
          <w:tcPr>
            <w:tcW w:type="dxa" w:w="1480"/>
          </w:tcPr>
          <w:p>
            <w:r>
              <w:rPr>
                <w:sz w:val="14"/>
              </w:rPr>
              <w:t>Catalogue product description drafting</w:t>
            </w:r>
          </w:p>
        </w:tc>
        <w:tc>
          <w:tcPr>
            <w:tcW w:type="dxa" w:w="1480"/>
          </w:tcPr>
          <w:p>
            <w:r>
              <w:rPr>
                <w:sz w:val="14"/>
              </w:rPr>
              <w:t>Fictional Draft Studio</w:t>
            </w:r>
          </w:p>
        </w:tc>
        <w:tc>
          <w:tcPr>
            <w:tcW w:type="dxa" w:w="1480"/>
          </w:tcPr>
          <w:p>
            <w:r>
              <w:rPr>
                <w:sz w:val="14"/>
              </w:rPr>
              <w:t>Head of Marketing</w:t>
            </w:r>
          </w:p>
        </w:tc>
        <w:tc>
          <w:tcPr>
            <w:tcW w:type="dxa" w:w="1480"/>
          </w:tcPr>
          <w:p>
            <w:r>
              <w:rPr>
                <w:sz w:val="14"/>
              </w:rPr>
              <w:t>Marketing team (4 users)</w:t>
            </w:r>
          </w:p>
        </w:tc>
        <w:tc>
          <w:tcPr>
            <w:tcW w:type="dxa" w:w="1480"/>
          </w:tcPr>
          <w:p>
            <w:r>
              <w:rPr>
                <w:sz w:val="14"/>
              </w:rPr>
              <w:t>Product names, specifications and catalogue content; no personal data intended</w:t>
            </w:r>
          </w:p>
        </w:tc>
        <w:tc>
          <w:tcPr>
            <w:tcW w:type="dxa" w:w="1480"/>
          </w:tcPr>
          <w:p>
            <w:r>
              <w:rPr>
                <w:sz w:val="14"/>
              </w:rPr>
              <w:t>Read supplied product details; draft copy; no publishing permission</w:t>
            </w:r>
          </w:p>
        </w:tc>
        <w:tc>
          <w:tcPr>
            <w:tcW w:type="dxa" w:w="1480"/>
          </w:tcPr>
          <w:p>
            <w:r>
              <w:rPr>
                <w:sz w:val="14"/>
              </w:rPr>
              <w:t>Tier 1 Low</w:t>
            </w:r>
          </w:p>
        </w:tc>
        <w:tc>
          <w:tcPr>
            <w:tcW w:type="dxa" w:w="1480"/>
          </w:tcPr>
          <w:p>
            <w:r>
              <w:rPr>
                <w:sz w:val="14"/>
              </w:rPr>
              <w:t>Human-in-the-loop: Head of Marketing checks factual claims and copy before publication</w:t>
            </w:r>
          </w:p>
        </w:tc>
        <w:tc>
          <w:tcPr>
            <w:tcW w:type="dxa" w:w="1480"/>
          </w:tcPr>
          <w:p>
            <w:r>
              <w:rPr>
                <w:sz w:val="14"/>
              </w:rPr>
              <w:t>Approved with conditions</w:t>
            </w:r>
          </w:p>
        </w:tc>
      </w:tr>
      <w:tr>
        <w:tc>
          <w:tcPr>
            <w:tcW w:type="dxa" w:w="1480"/>
          </w:tcPr>
          <w:p>
            <w:r>
              <w:rPr>
                <w:sz w:val="14"/>
              </w:rPr>
              <w:t>AI-02</w:t>
            </w:r>
          </w:p>
        </w:tc>
        <w:tc>
          <w:tcPr>
            <w:tcW w:type="dxa" w:w="1480"/>
          </w:tcPr>
          <w:p>
            <w:r>
              <w:rPr>
                <w:sz w:val="14"/>
              </w:rPr>
              <w:t>Helpdesk reply drafting</w:t>
            </w:r>
          </w:p>
        </w:tc>
        <w:tc>
          <w:tcPr>
            <w:tcW w:type="dxa" w:w="1480"/>
          </w:tcPr>
          <w:p>
            <w:r>
              <w:rPr>
                <w:sz w:val="14"/>
              </w:rPr>
              <w:t>Fictional Helpdesk (V-01)</w:t>
            </w:r>
          </w:p>
        </w:tc>
        <w:tc>
          <w:tcPr>
            <w:tcW w:type="dxa" w:w="1480"/>
          </w:tcPr>
          <w:p>
            <w:r>
              <w:rPr>
                <w:sz w:val="14"/>
              </w:rPr>
              <w:t>Head of Customer Service</w:t>
            </w:r>
          </w:p>
        </w:tc>
        <w:tc>
          <w:tcPr>
            <w:tcW w:type="dxa" w:w="1480"/>
          </w:tcPr>
          <w:p>
            <w:r>
              <w:rPr>
                <w:sz w:val="14"/>
              </w:rPr>
              <w:t>Customer Service team (9 agents)</w:t>
            </w:r>
          </w:p>
        </w:tc>
        <w:tc>
          <w:tcPr>
            <w:tcW w:type="dxa" w:w="1480"/>
          </w:tcPr>
          <w:p>
            <w:r>
              <w:rPr>
                <w:sz w:val="14"/>
              </w:rPr>
              <w:t>Customer contact details; order history; customer enquiries</w:t>
            </w:r>
          </w:p>
        </w:tc>
        <w:tc>
          <w:tcPr>
            <w:tcW w:type="dxa" w:w="1480"/>
          </w:tcPr>
          <w:p>
            <w:r>
              <w:rPr>
                <w:sz w:val="14"/>
              </w:rPr>
              <w:t>Read helpdesk conversation data; draft replies; no autonomous sending</w:t>
            </w:r>
          </w:p>
        </w:tc>
        <w:tc>
          <w:tcPr>
            <w:tcW w:type="dxa" w:w="1480"/>
          </w:tcPr>
          <w:p>
            <w:r>
              <w:rPr>
                <w:sz w:val="14"/>
              </w:rPr>
              <w:t>Tier 2 Medium</w:t>
            </w:r>
          </w:p>
        </w:tc>
        <w:tc>
          <w:tcPr>
            <w:tcW w:type="dxa" w:w="1480"/>
          </w:tcPr>
          <w:p>
            <w:r>
              <w:rPr>
                <w:sz w:val="14"/>
              </w:rPr>
              <w:t>Human-in-the-loop: agent sends nothing until a Customer Service user checks and approves the reply</w:t>
            </w:r>
          </w:p>
        </w:tc>
        <w:tc>
          <w:tcPr>
            <w:tcW w:type="dxa" w:w="1480"/>
          </w:tcPr>
          <w:p>
            <w:r>
              <w:rPr>
                <w:sz w:val="14"/>
              </w:rPr>
              <w:t>Approved with conditions</w:t>
            </w:r>
          </w:p>
        </w:tc>
      </w:tr>
      <w:tr>
        <w:tc>
          <w:tcPr>
            <w:tcW w:type="dxa" w:w="1480"/>
          </w:tcPr>
          <w:p>
            <w:r>
              <w:rPr>
                <w:sz w:val="14"/>
              </w:rPr>
              <w:t>AI-03</w:t>
            </w:r>
          </w:p>
        </w:tc>
        <w:tc>
          <w:tcPr>
            <w:tcW w:type="dxa" w:w="1480"/>
          </w:tcPr>
          <w:p>
            <w:r>
              <w:rPr>
                <w:sz w:val="14"/>
              </w:rPr>
              <w:t>Supplier reorder agent pilot</w:t>
            </w:r>
          </w:p>
        </w:tc>
        <w:tc>
          <w:tcPr>
            <w:tcW w:type="dxa" w:w="1480"/>
          </w:tcPr>
          <w:p>
            <w:r>
              <w:rPr>
                <w:sz w:val="14"/>
              </w:rPr>
              <w:t>Fictional Reorder Agent (V-02)</w:t>
            </w:r>
          </w:p>
        </w:tc>
        <w:tc>
          <w:tcPr>
            <w:tcW w:type="dxa" w:w="1480"/>
          </w:tcPr>
          <w:p>
            <w:r>
              <w:rPr>
                <w:sz w:val="14"/>
              </w:rPr>
              <w:t>Purchasing Lead</w:t>
            </w:r>
          </w:p>
        </w:tc>
        <w:tc>
          <w:tcPr>
            <w:tcW w:type="dxa" w:w="1480"/>
          </w:tcPr>
          <w:p>
            <w:r>
              <w:rPr>
                <w:sz w:val="14"/>
              </w:rPr>
              <w:t>Purchasing team (3 users; Purchasing Lead approves)</w:t>
            </w:r>
          </w:p>
        </w:tc>
        <w:tc>
          <w:tcPr>
            <w:tcW w:type="dxa" w:w="1480"/>
          </w:tcPr>
          <w:p>
            <w:r>
              <w:rPr>
                <w:sz w:val="14"/>
              </w:rPr>
              <w:t>Stock levels; supplier price lists; supplier contact details; purchase-order information</w:t>
            </w:r>
          </w:p>
        </w:tc>
        <w:tc>
          <w:tcPr>
            <w:tcW w:type="dxa" w:w="1480"/>
          </w:tcPr>
          <w:p>
            <w:r>
              <w:rPr>
                <w:sz w:val="14"/>
              </w:rPr>
              <w:t>Read stock and supplier price lists; prepare purchase orders; can submit purchase orders by email</w:t>
            </w:r>
          </w:p>
        </w:tc>
        <w:tc>
          <w:tcPr>
            <w:tcW w:type="dxa" w:w="1480"/>
          </w:tcPr>
          <w:p>
            <w:r>
              <w:rPr>
                <w:sz w:val="14"/>
              </w:rPr>
              <w:t>Tier 3 High</w:t>
            </w:r>
          </w:p>
        </w:tc>
        <w:tc>
          <w:tcPr>
            <w:tcW w:type="dxa" w:w="1480"/>
          </w:tcPr>
          <w:p>
            <w:r>
              <w:rPr>
                <w:sz w:val="14"/>
              </w:rPr>
              <w:t>Human-in-the-loop: agent sends nothing until Purchasing Lead approves each purchase order</w:t>
            </w:r>
          </w:p>
        </w:tc>
        <w:tc>
          <w:tcPr>
            <w:tcW w:type="dxa" w:w="1480"/>
          </w:tcPr>
          <w:p>
            <w:r>
              <w:rPr>
                <w:sz w:val="14"/>
              </w:rPr>
              <w:t>Pilot with approval gate</w:t>
            </w:r>
          </w:p>
        </w:tc>
      </w:tr>
      <w:tr>
        <w:tc>
          <w:tcPr>
            <w:tcW w:type="dxa" w:w="1480"/>
          </w:tcPr>
          <w:p>
            <w:r>
              <w:rPr>
                <w:sz w:val="14"/>
              </w:rPr>
              <w:t>AI-04</w:t>
            </w:r>
          </w:p>
        </w:tc>
        <w:tc>
          <w:tcPr>
            <w:tcW w:type="dxa" w:w="1480"/>
          </w:tcPr>
          <w:p>
            <w:r>
              <w:rPr>
                <w:sz w:val="14"/>
              </w:rPr>
              <w:t>CV screening and candidate ranking</w:t>
            </w:r>
          </w:p>
        </w:tc>
        <w:tc>
          <w:tcPr>
            <w:tcW w:type="dxa" w:w="1480"/>
          </w:tcPr>
          <w:p>
            <w:r>
              <w:rPr>
                <w:sz w:val="14"/>
              </w:rPr>
              <w:t>Fictional Talent Screen (V-03)</w:t>
            </w:r>
          </w:p>
        </w:tc>
        <w:tc>
          <w:tcPr>
            <w:tcW w:type="dxa" w:w="1480"/>
          </w:tcPr>
          <w:p>
            <w:r>
              <w:rPr>
                <w:sz w:val="14"/>
              </w:rPr>
              <w:t>HR Manager</w:t>
            </w:r>
          </w:p>
        </w:tc>
        <w:tc>
          <w:tcPr>
            <w:tcW w:type="dxa" w:w="1480"/>
          </w:tcPr>
          <w:p>
            <w:r>
              <w:rPr>
                <w:sz w:val="14"/>
              </w:rPr>
              <w:t>HR team (2 users, proposed)</w:t>
            </w:r>
          </w:p>
        </w:tc>
        <w:tc>
          <w:tcPr>
            <w:tcW w:type="dxa" w:w="1480"/>
          </w:tcPr>
          <w:p>
            <w:r>
              <w:rPr>
                <w:sz w:val="14"/>
              </w:rPr>
              <w:t>Candidate CVs; contact details; employment and education history</w:t>
            </w:r>
          </w:p>
        </w:tc>
        <w:tc>
          <w:tcPr>
            <w:tcW w:type="dxa" w:w="1480"/>
          </w:tcPr>
          <w:p>
            <w:r>
              <w:rPr>
                <w:sz w:val="14"/>
              </w:rPr>
              <w:t>Proposed access to CVs and candidate details; ranking use is on hold</w:t>
            </w:r>
          </w:p>
        </w:tc>
        <w:tc>
          <w:tcPr>
            <w:tcW w:type="dxa" w:w="1480"/>
          </w:tcPr>
          <w:p>
            <w:r>
              <w:rPr>
                <w:sz w:val="14"/>
              </w:rPr>
              <w:t>Tier 3 High</w:t>
            </w:r>
          </w:p>
        </w:tc>
        <w:tc>
          <w:tcPr>
            <w:tcW w:type="dxa" w:w="1480"/>
          </w:tcPr>
          <w:p>
            <w:r>
              <w:rPr>
                <w:sz w:val="14"/>
              </w:rPr>
              <w:t>Human-in-the-loop: no candidate ranking or screening use until the hold is reconsidered and controls are approved</w:t>
            </w:r>
          </w:p>
        </w:tc>
        <w:tc>
          <w:tcPr>
            <w:tcW w:type="dxa" w:w="1480"/>
          </w:tcPr>
          <w:p>
            <w:r>
              <w:rPr>
                <w:sz w:val="14"/>
              </w:rPr>
              <w:t>On hold, recommended not to proceed in current form</w:t>
            </w:r>
          </w:p>
        </w:tc>
      </w:tr>
      <w:tr>
        <w:tc>
          <w:tcPr>
            <w:tcW w:type="dxa" w:w="1480"/>
          </w:tcPr>
          <w:p>
            <w:r>
              <w:rPr>
                <w:sz w:val="14"/>
              </w:rPr>
              <w:t>AI-05</w:t>
            </w:r>
          </w:p>
        </w:tc>
        <w:tc>
          <w:tcPr>
            <w:tcW w:type="dxa" w:w="1480"/>
          </w:tcPr>
          <w:p>
            <w:r>
              <w:rPr>
                <w:sz w:val="14"/>
              </w:rPr>
              <w:t>Microsoft 365 Copilot for email, documents and spreadsheets</w:t>
            </w:r>
          </w:p>
        </w:tc>
        <w:tc>
          <w:tcPr>
            <w:tcW w:type="dxa" w:w="1480"/>
          </w:tcPr>
          <w:p>
            <w:r>
              <w:rPr>
                <w:sz w:val="14"/>
              </w:rPr>
              <w:t>Microsoft 365 Copilot (company licences, 25 seats)</w:t>
            </w:r>
          </w:p>
        </w:tc>
        <w:tc>
          <w:tcPr>
            <w:tcW w:type="dxa" w:w="1480"/>
          </w:tcPr>
          <w:p>
            <w:r>
              <w:rPr>
                <w:sz w:val="14"/>
              </w:rPr>
              <w:t>IT Manager</w:t>
            </w:r>
          </w:p>
        </w:tc>
        <w:tc>
          <w:tcPr>
            <w:tcW w:type="dxa" w:w="1480"/>
          </w:tcPr>
          <w:p>
            <w:r>
              <w:rPr>
                <w:sz w:val="14"/>
              </w:rPr>
              <w:t>25 licensed users across Sales, Finance, Operations and management</w:t>
            </w:r>
          </w:p>
        </w:tc>
        <w:tc>
          <w:tcPr>
            <w:tcW w:type="dxa" w:w="1480"/>
          </w:tcPr>
          <w:p>
            <w:r>
              <w:rPr>
                <w:sz w:val="14"/>
              </w:rPr>
              <w:t>Business emails and documents; may include customer, staff or supplier personal data</w:t>
            </w:r>
          </w:p>
        </w:tc>
        <w:tc>
          <w:tcPr>
            <w:tcW w:type="dxa" w:w="1480"/>
          </w:tcPr>
          <w:p>
            <w:r>
              <w:rPr>
                <w:sz w:val="14"/>
              </w:rPr>
              <w:t>May access content available to the signed-in user; produces drafts and summaries; write or sharing settings to be confirmed</w:t>
            </w:r>
          </w:p>
        </w:tc>
        <w:tc>
          <w:tcPr>
            <w:tcW w:type="dxa" w:w="1480"/>
          </w:tcPr>
          <w:p>
            <w:r>
              <w:rPr>
                <w:sz w:val="14"/>
              </w:rPr>
              <w:t>Tier 2 Medium</w:t>
            </w:r>
          </w:p>
        </w:tc>
        <w:tc>
          <w:tcPr>
            <w:tcW w:type="dxa" w:w="1480"/>
          </w:tcPr>
          <w:p>
            <w:r>
              <w:rPr>
                <w:sz w:val="14"/>
              </w:rPr>
              <w:t>Human-in-the-loop: user checks outputs and recipients before using or sharing them</w:t>
            </w:r>
          </w:p>
        </w:tc>
        <w:tc>
          <w:tcPr>
            <w:tcW w:type="dxa" w:w="1480"/>
          </w:tcPr>
          <w:p>
            <w:r>
              <w:rPr>
                <w:sz w:val="14"/>
              </w:rPr>
              <w:t>Approved with conditions</w:t>
            </w:r>
          </w:p>
        </w:tc>
      </w:tr>
      <w:tr>
        <w:tc>
          <w:tcPr>
            <w:tcW w:type="dxa" w:w="1480"/>
          </w:tcPr>
          <w:p>
            <w:r>
              <w:rPr>
                <w:sz w:val="14"/>
              </w:rPr>
              <w:t>AI-06</w:t>
            </w:r>
          </w:p>
        </w:tc>
        <w:tc>
          <w:tcPr>
            <w:tcW w:type="dxa" w:w="1480"/>
          </w:tcPr>
          <w:p>
            <w:r>
              <w:rPr>
                <w:sz w:val="14"/>
              </w:rPr>
              <w:t>ChatGPT on staff personal accounts</w:t>
            </w:r>
          </w:p>
        </w:tc>
        <w:tc>
          <w:tcPr>
            <w:tcW w:type="dxa" w:w="1480"/>
          </w:tcPr>
          <w:p>
            <w:r>
              <w:rPr>
                <w:sz w:val="14"/>
              </w:rPr>
              <w:t>ChatGPT (staff personal accounts found in use)</w:t>
            </w:r>
          </w:p>
        </w:tc>
        <w:tc>
          <w:tcPr>
            <w:tcW w:type="dxa" w:w="1480"/>
          </w:tcPr>
          <w:p>
            <w:r>
              <w:rPr>
                <w:sz w:val="14"/>
              </w:rPr>
              <w:t>COO</w:t>
            </w:r>
          </w:p>
        </w:tc>
        <w:tc>
          <w:tcPr>
            <w:tcW w:type="dxa" w:w="1480"/>
          </w:tcPr>
          <w:p>
            <w:r>
              <w:rPr>
                <w:sz w:val="14"/>
              </w:rPr>
              <w:t>About 15 staff on personal accounts (from staff survey, client-reported)</w:t>
            </w:r>
          </w:p>
        </w:tc>
        <w:tc>
          <w:tcPr>
            <w:tcW w:type="dxa" w:w="1480"/>
          </w:tcPr>
          <w:p>
            <w:r>
              <w:rPr>
                <w:sz w:val="14"/>
              </w:rPr>
              <w:t>Prompts may contain business information; customer, staff or supplier personal data is prohibited</w:t>
            </w:r>
          </w:p>
        </w:tc>
        <w:tc>
          <w:tcPr>
            <w:tcW w:type="dxa" w:w="1480"/>
          </w:tcPr>
          <w:p>
            <w:r>
              <w:rPr>
                <w:sz w:val="14"/>
              </w:rPr>
              <w:t>Staff submit prompts through personal accounts; company access, retention and settings are not controlled or confirmed</w:t>
            </w:r>
          </w:p>
        </w:tc>
        <w:tc>
          <w:tcPr>
            <w:tcW w:type="dxa" w:w="1480"/>
          </w:tcPr>
          <w:p>
            <w:r>
              <w:rPr>
                <w:sz w:val="14"/>
              </w:rPr>
              <w:t>Tier 2 Medium</w:t>
            </w:r>
          </w:p>
        </w:tc>
        <w:tc>
          <w:tcPr>
            <w:tcW w:type="dxa" w:w="1480"/>
          </w:tcPr>
          <w:p>
            <w:r>
              <w:rPr>
                <w:sz w:val="14"/>
              </w:rPr>
              <w:t>Human-in-the-loop: staff must not submit personal data and must move permitted work to an approved tool</w:t>
            </w:r>
          </w:p>
        </w:tc>
        <w:tc>
          <w:tcPr>
            <w:tcW w:type="dxa" w:w="1480"/>
          </w:tcPr>
          <w:p>
            <w:r>
              <w:rPr>
                <w:sz w:val="14"/>
              </w:rPr>
              <w:t>Restricted (no customer, staff or supplier personal data; move to an approved tool)</w:t>
            </w:r>
          </w:p>
        </w:tc>
      </w:tr>
      <w:tr>
        <w:tc>
          <w:tcPr>
            <w:tcW w:type="dxa" w:w="1480"/>
          </w:tcPr>
          <w:p>
            <w:r>
              <w:rPr>
                <w:sz w:val="14"/>
              </w:rPr>
              <w:t>AI-07</w:t>
            </w:r>
          </w:p>
        </w:tc>
        <w:tc>
          <w:tcPr>
            <w:tcW w:type="dxa" w:w="1480"/>
          </w:tcPr>
          <w:p>
            <w:r>
              <w:rPr>
                <w:sz w:val="14"/>
              </w:rPr>
              <w:t>Marketing banner image generation</w:t>
            </w:r>
          </w:p>
        </w:tc>
        <w:tc>
          <w:tcPr>
            <w:tcW w:type="dxa" w:w="1480"/>
          </w:tcPr>
          <w:p>
            <w:r>
              <w:rPr>
                <w:sz w:val="14"/>
              </w:rPr>
              <w:t>Fictional Image Studio</w:t>
            </w:r>
          </w:p>
        </w:tc>
        <w:tc>
          <w:tcPr>
            <w:tcW w:type="dxa" w:w="1480"/>
          </w:tcPr>
          <w:p>
            <w:r>
              <w:rPr>
                <w:sz w:val="14"/>
              </w:rPr>
              <w:t>Head of Marketing</w:t>
            </w:r>
          </w:p>
        </w:tc>
        <w:tc>
          <w:tcPr>
            <w:tcW w:type="dxa" w:w="1480"/>
          </w:tcPr>
          <w:p>
            <w:r>
              <w:rPr>
                <w:sz w:val="14"/>
              </w:rPr>
              <w:t>Marketing team (2 designers)</w:t>
            </w:r>
          </w:p>
        </w:tc>
        <w:tc>
          <w:tcPr>
            <w:tcW w:type="dxa" w:w="1480"/>
          </w:tcPr>
          <w:p>
            <w:r>
              <w:rPr>
                <w:sz w:val="14"/>
              </w:rPr>
              <w:t>Marketing briefs and product imagery; no personal data intended</w:t>
            </w:r>
          </w:p>
        </w:tc>
        <w:tc>
          <w:tcPr>
            <w:tcW w:type="dxa" w:w="1480"/>
          </w:tcPr>
          <w:p>
            <w:r>
              <w:rPr>
                <w:sz w:val="14"/>
              </w:rPr>
              <w:t>Read supplied briefs; generate draft images; no publishing permission</w:t>
            </w:r>
          </w:p>
        </w:tc>
        <w:tc>
          <w:tcPr>
            <w:tcW w:type="dxa" w:w="1480"/>
          </w:tcPr>
          <w:p>
            <w:r>
              <w:rPr>
                <w:sz w:val="14"/>
              </w:rPr>
              <w:t>Tier 1 Low</w:t>
            </w:r>
          </w:p>
        </w:tc>
        <w:tc>
          <w:tcPr>
            <w:tcW w:type="dxa" w:w="1480"/>
          </w:tcPr>
          <w:p>
            <w:r>
              <w:rPr>
                <w:sz w:val="14"/>
              </w:rPr>
              <w:t>Human-in-the-loop: Head of Marketing reviews images before publication</w:t>
            </w:r>
          </w:p>
        </w:tc>
        <w:tc>
          <w:tcPr>
            <w:tcW w:type="dxa" w:w="1480"/>
          </w:tcPr>
          <w:p>
            <w:r>
              <w:rPr>
                <w:sz w:val="14"/>
              </w:rPr>
              <w:t>Approved with conditions</w:t>
            </w:r>
          </w:p>
        </w:tc>
      </w:tr>
      <w:tr>
        <w:tc>
          <w:tcPr>
            <w:tcW w:type="dxa" w:w="1480"/>
          </w:tcPr>
          <w:p>
            <w:r>
              <w:rPr>
                <w:sz w:val="14"/>
              </w:rPr>
              <w:t>AI-08</w:t>
            </w:r>
          </w:p>
        </w:tc>
        <w:tc>
          <w:tcPr>
            <w:tcW w:type="dxa" w:w="1480"/>
          </w:tcPr>
          <w:p>
            <w:r>
              <w:rPr>
                <w:sz w:val="14"/>
              </w:rPr>
              <w:t>Meeting transcription and summaries</w:t>
            </w:r>
          </w:p>
        </w:tc>
        <w:tc>
          <w:tcPr>
            <w:tcW w:type="dxa" w:w="1480"/>
          </w:tcPr>
          <w:p>
            <w:r>
              <w:rPr>
                <w:sz w:val="14"/>
              </w:rPr>
              <w:t>Copilot in Teams</w:t>
            </w:r>
          </w:p>
        </w:tc>
        <w:tc>
          <w:tcPr>
            <w:tcW w:type="dxa" w:w="1480"/>
          </w:tcPr>
          <w:p>
            <w:r>
              <w:rPr>
                <w:sz w:val="14"/>
              </w:rPr>
              <w:t>IT Manager</w:t>
            </w:r>
          </w:p>
        </w:tc>
        <w:tc>
          <w:tcPr>
            <w:tcW w:type="dxa" w:w="1480"/>
          </w:tcPr>
          <w:p>
            <w:r>
              <w:rPr>
                <w:sz w:val="14"/>
              </w:rPr>
              <w:t>Management meetings and Sales team calls (about 20 users)</w:t>
            </w:r>
          </w:p>
        </w:tc>
        <w:tc>
          <w:tcPr>
            <w:tcW w:type="dxa" w:w="1480"/>
          </w:tcPr>
          <w:p>
            <w:r>
              <w:rPr>
                <w:sz w:val="14"/>
              </w:rPr>
              <w:t>Participant voices and names; meeting discussions may include staff, customer or supplier information</w:t>
            </w:r>
          </w:p>
        </w:tc>
        <w:tc>
          <w:tcPr>
            <w:tcW w:type="dxa" w:w="1480"/>
          </w:tcPr>
          <w:p>
            <w:r>
              <w:rPr>
                <w:sz w:val="14"/>
              </w:rPr>
              <w:t>Processes meeting audio or transcript to prepare summaries; sharing and retention settings to be confirmed</w:t>
            </w:r>
          </w:p>
        </w:tc>
        <w:tc>
          <w:tcPr>
            <w:tcW w:type="dxa" w:w="1480"/>
          </w:tcPr>
          <w:p>
            <w:r>
              <w:rPr>
                <w:sz w:val="14"/>
              </w:rPr>
              <w:t>Tier 2 Medium</w:t>
            </w:r>
          </w:p>
        </w:tc>
        <w:tc>
          <w:tcPr>
            <w:tcW w:type="dxa" w:w="1480"/>
          </w:tcPr>
          <w:p>
            <w:r>
              <w:rPr>
                <w:sz w:val="14"/>
              </w:rPr>
              <w:t>Human-in-the-loop: meeting organiser checks transcript and summary before circulation</w:t>
            </w:r>
          </w:p>
        </w:tc>
        <w:tc>
          <w:tcPr>
            <w:tcW w:type="dxa" w:w="1480"/>
          </w:tcPr>
          <w:p>
            <w:r>
              <w:rPr>
                <w:sz w:val="14"/>
              </w:rPr>
              <w:t>Approved with conditions</w:t>
            </w:r>
          </w:p>
        </w:tc>
      </w:tr>
      <w:tr>
        <w:tc>
          <w:tcPr>
            <w:tcW w:type="dxa" w:w="1480"/>
          </w:tcPr>
          <w:p>
            <w:r>
              <w:rPr>
                <w:sz w:val="14"/>
              </w:rPr>
              <w:t>AI-09</w:t>
            </w:r>
          </w:p>
        </w:tc>
        <w:tc>
          <w:tcPr>
            <w:tcW w:type="dxa" w:w="1480"/>
          </w:tcPr>
          <w:p>
            <w:r>
              <w:rPr>
                <w:sz w:val="14"/>
              </w:rPr>
              <w:t>Sales quotation drafting assistant</w:t>
            </w:r>
          </w:p>
        </w:tc>
        <w:tc>
          <w:tcPr>
            <w:tcW w:type="dxa" w:w="1480"/>
          </w:tcPr>
          <w:p>
            <w:r>
              <w:rPr>
                <w:sz w:val="14"/>
              </w:rPr>
              <w:t>Microsoft 365 Copilot (company licences, 25 seats)</w:t>
            </w:r>
          </w:p>
        </w:tc>
        <w:tc>
          <w:tcPr>
            <w:tcW w:type="dxa" w:w="1480"/>
          </w:tcPr>
          <w:p>
            <w:r>
              <w:rPr>
                <w:sz w:val="14"/>
              </w:rPr>
              <w:t>Sales Manager</w:t>
            </w:r>
          </w:p>
        </w:tc>
        <w:tc>
          <w:tcPr>
            <w:tcW w:type="dxa" w:w="1480"/>
          </w:tcPr>
          <w:p>
            <w:r>
              <w:rPr>
                <w:sz w:val="14"/>
              </w:rPr>
              <w:t>Sales team (6 users)</w:t>
            </w:r>
          </w:p>
        </w:tc>
        <w:tc>
          <w:tcPr>
            <w:tcW w:type="dxa" w:w="1480"/>
          </w:tcPr>
          <w:p>
            <w:r>
              <w:rPr>
                <w:sz w:val="14"/>
              </w:rPr>
              <w:t>Customer business contact details; quotation and product information</w:t>
            </w:r>
          </w:p>
        </w:tc>
        <w:tc>
          <w:tcPr>
            <w:tcW w:type="dxa" w:w="1480"/>
          </w:tcPr>
          <w:p>
            <w:r>
              <w:rPr>
                <w:sz w:val="14"/>
              </w:rPr>
              <w:t>Read user-accessible business content; draft quotations; no authority to approve or send</w:t>
            </w:r>
          </w:p>
        </w:tc>
        <w:tc>
          <w:tcPr>
            <w:tcW w:type="dxa" w:w="1480"/>
          </w:tcPr>
          <w:p>
            <w:r>
              <w:rPr>
                <w:sz w:val="14"/>
              </w:rPr>
              <w:t>Tier 2 Medium</w:t>
            </w:r>
          </w:p>
        </w:tc>
        <w:tc>
          <w:tcPr>
            <w:tcW w:type="dxa" w:w="1480"/>
          </w:tcPr>
          <w:p>
            <w:r>
              <w:rPr>
                <w:sz w:val="14"/>
              </w:rPr>
              <w:t>Human-in-the-loop: Sales Manager or authorised salesperson verifies prices and terms before sending</w:t>
            </w:r>
          </w:p>
        </w:tc>
        <w:tc>
          <w:tcPr>
            <w:tcW w:type="dxa" w:w="1480"/>
          </w:tcPr>
          <w:p>
            <w:r>
              <w:rPr>
                <w:sz w:val="14"/>
              </w:rPr>
              <w:t>Approved with conditions</w:t>
            </w:r>
          </w:p>
        </w:tc>
      </w:tr>
      <w:tr>
        <w:tc>
          <w:tcPr>
            <w:tcW w:type="dxa" w:w="1480"/>
          </w:tcPr>
          <w:p>
            <w:r>
              <w:rPr>
                <w:sz w:val="14"/>
              </w:rPr>
              <w:t>AI-10</w:t>
            </w:r>
          </w:p>
        </w:tc>
        <w:tc>
          <w:tcPr>
            <w:tcW w:type="dxa" w:w="1480"/>
          </w:tcPr>
          <w:p>
            <w:r>
              <w:rPr>
                <w:sz w:val="14"/>
              </w:rPr>
              <w:t>Supplier invoice data extraction</w:t>
            </w:r>
          </w:p>
        </w:tc>
        <w:tc>
          <w:tcPr>
            <w:tcW w:type="dxa" w:w="1480"/>
          </w:tcPr>
          <w:p>
            <w:r>
              <w:rPr>
                <w:sz w:val="14"/>
              </w:rPr>
              <w:t>Cloud accounting system AI feature</w:t>
            </w:r>
          </w:p>
        </w:tc>
        <w:tc>
          <w:tcPr>
            <w:tcW w:type="dxa" w:w="1480"/>
          </w:tcPr>
          <w:p>
            <w:r>
              <w:rPr>
                <w:sz w:val="14"/>
              </w:rPr>
              <w:t>Finance Director</w:t>
            </w:r>
          </w:p>
        </w:tc>
        <w:tc>
          <w:tcPr>
            <w:tcW w:type="dxa" w:w="1480"/>
          </w:tcPr>
          <w:p>
            <w:r>
              <w:rPr>
                <w:sz w:val="14"/>
              </w:rPr>
              <w:t>Finance team (4 users)</w:t>
            </w:r>
          </w:p>
        </w:tc>
        <w:tc>
          <w:tcPr>
            <w:tcW w:type="dxa" w:w="1480"/>
          </w:tcPr>
          <w:p>
            <w:r>
              <w:rPr>
                <w:sz w:val="14"/>
              </w:rPr>
              <w:t>Supplier names and contact details; invoice and payment details</w:t>
            </w:r>
          </w:p>
        </w:tc>
        <w:tc>
          <w:tcPr>
            <w:tcW w:type="dxa" w:w="1480"/>
          </w:tcPr>
          <w:p>
            <w:r>
              <w:rPr>
                <w:sz w:val="14"/>
              </w:rPr>
              <w:t>Reads supplier invoices and extracts fields; posting or payment permissions to be confirmed</w:t>
            </w:r>
          </w:p>
        </w:tc>
        <w:tc>
          <w:tcPr>
            <w:tcW w:type="dxa" w:w="1480"/>
          </w:tcPr>
          <w:p>
            <w:r>
              <w:rPr>
                <w:sz w:val="14"/>
              </w:rPr>
              <w:t>Tier 2 Medium</w:t>
            </w:r>
          </w:p>
        </w:tc>
        <w:tc>
          <w:tcPr>
            <w:tcW w:type="dxa" w:w="1480"/>
          </w:tcPr>
          <w:p>
            <w:r>
              <w:rPr>
                <w:sz w:val="14"/>
              </w:rPr>
              <w:t>Human-in-the-loop: Finance checks extracted fields before posting or payment</w:t>
            </w:r>
          </w:p>
        </w:tc>
        <w:tc>
          <w:tcPr>
            <w:tcW w:type="dxa" w:w="1480"/>
          </w:tcPr>
          <w:p>
            <w:r>
              <w:rPr>
                <w:sz w:val="14"/>
              </w:rPr>
              <w:t>Approved with conditions</w:t>
            </w:r>
          </w:p>
        </w:tc>
      </w:tr>
      <w:tr>
        <w:tc>
          <w:tcPr>
            <w:tcW w:type="dxa" w:w="1480"/>
          </w:tcPr>
          <w:p>
            <w:r>
              <w:rPr>
                <w:sz w:val="14"/>
              </w:rPr>
              <w:t>AI-11</w:t>
            </w:r>
          </w:p>
        </w:tc>
        <w:tc>
          <w:tcPr>
            <w:tcW w:type="dxa" w:w="1480"/>
          </w:tcPr>
          <w:p>
            <w:r>
              <w:rPr>
                <w:sz w:val="14"/>
              </w:rPr>
              <w:t>Reorder reminder emails to web-shop customers</w:t>
            </w:r>
          </w:p>
        </w:tc>
        <w:tc>
          <w:tcPr>
            <w:tcW w:type="dxa" w:w="1480"/>
          </w:tcPr>
          <w:p>
            <w:r>
              <w:rPr>
                <w:sz w:val="14"/>
              </w:rPr>
              <w:t>Marketing automation AI</w:t>
            </w:r>
          </w:p>
        </w:tc>
        <w:tc>
          <w:tcPr>
            <w:tcW w:type="dxa" w:w="1480"/>
          </w:tcPr>
          <w:p>
            <w:r>
              <w:rPr>
                <w:sz w:val="14"/>
              </w:rPr>
              <w:t>Head of Marketing</w:t>
            </w:r>
          </w:p>
        </w:tc>
        <w:tc>
          <w:tcPr>
            <w:tcW w:type="dxa" w:w="1480"/>
          </w:tcPr>
          <w:p>
            <w:r>
              <w:rPr>
                <w:sz w:val="14"/>
              </w:rPr>
              <w:t>Marketing team (2 users); web-shop customers receive emails</w:t>
            </w:r>
          </w:p>
        </w:tc>
        <w:tc>
          <w:tcPr>
            <w:tcW w:type="dxa" w:w="1480"/>
          </w:tcPr>
          <w:p>
            <w:r>
              <w:rPr>
                <w:sz w:val="14"/>
              </w:rPr>
              <w:t>Customer contact details; order history; marketing preferences and consent records</w:t>
            </w:r>
          </w:p>
        </w:tc>
        <w:tc>
          <w:tcPr>
            <w:tcW w:type="dxa" w:w="1480"/>
          </w:tcPr>
          <w:p>
            <w:r>
              <w:rPr>
                <w:sz w:val="14"/>
              </w:rPr>
              <w:t>May use customer and order data to prepare or send reminders; sending permissions to confirm</w:t>
            </w:r>
          </w:p>
        </w:tc>
        <w:tc>
          <w:tcPr>
            <w:tcW w:type="dxa" w:w="1480"/>
          </w:tcPr>
          <w:p>
            <w:r>
              <w:rPr>
                <w:sz w:val="14"/>
              </w:rPr>
              <w:t>Tier 2 Medium</w:t>
            </w:r>
          </w:p>
        </w:tc>
        <w:tc>
          <w:tcPr>
            <w:tcW w:type="dxa" w:w="1480"/>
          </w:tcPr>
          <w:p>
            <w:r>
              <w:rPr>
                <w:sz w:val="14"/>
              </w:rPr>
              <w:t>Human-in-the-loop: no reminders sent until consent and audience rules are checked and approved</w:t>
            </w:r>
          </w:p>
        </w:tc>
        <w:tc>
          <w:tcPr>
            <w:tcW w:type="dxa" w:w="1480"/>
          </w:tcPr>
          <w:p>
            <w:r>
              <w:rPr>
                <w:sz w:val="14"/>
              </w:rPr>
              <w:t>Restricted pending consent check</w:t>
            </w:r>
          </w:p>
        </w:tc>
      </w:tr>
      <w:tr>
        <w:tc>
          <w:tcPr>
            <w:tcW w:type="dxa" w:w="1480"/>
          </w:tcPr>
          <w:p>
            <w:r>
              <w:rPr>
                <w:sz w:val="14"/>
              </w:rPr>
              <w:t>AI-12</w:t>
            </w:r>
          </w:p>
        </w:tc>
        <w:tc>
          <w:tcPr>
            <w:tcW w:type="dxa" w:w="1480"/>
          </w:tcPr>
          <w:p>
            <w:r>
              <w:rPr>
                <w:sz w:val="14"/>
              </w:rPr>
              <w:t>Customer web-chat bot on the online store</w:t>
            </w:r>
          </w:p>
        </w:tc>
        <w:tc>
          <w:tcPr>
            <w:tcW w:type="dxa" w:w="1480"/>
          </w:tcPr>
          <w:p>
            <w:r>
              <w:rPr>
                <w:sz w:val="14"/>
              </w:rPr>
              <w:t>Fictional Helpdesk widget (V-01)</w:t>
            </w:r>
          </w:p>
        </w:tc>
        <w:tc>
          <w:tcPr>
            <w:tcW w:type="dxa" w:w="1480"/>
          </w:tcPr>
          <w:p>
            <w:r>
              <w:rPr>
                <w:sz w:val="14"/>
              </w:rPr>
              <w:t>Head of Customer Service</w:t>
            </w:r>
          </w:p>
        </w:tc>
        <w:tc>
          <w:tcPr>
            <w:tcW w:type="dxa" w:w="1480"/>
          </w:tcPr>
          <w:p>
            <w:r>
              <w:rPr>
                <w:sz w:val="14"/>
              </w:rPr>
              <w:t>Web-shop customers (proposed); Customer Service team reviews hand-offs</w:t>
            </w:r>
          </w:p>
        </w:tc>
        <w:tc>
          <w:tcPr>
            <w:tcW w:type="dxa" w:w="1480"/>
          </w:tcPr>
          <w:p>
            <w:r>
              <w:rPr>
                <w:sz w:val="14"/>
              </w:rPr>
              <w:t>Customer messages and contact details; order details if collected</w:t>
            </w:r>
          </w:p>
        </w:tc>
        <w:tc>
          <w:tcPr>
            <w:tcW w:type="dxa" w:w="1480"/>
          </w:tcPr>
          <w:p>
            <w:r>
              <w:rPr>
                <w:sz w:val="14"/>
              </w:rPr>
              <w:t>Proposed access to chat messages; live status is not yet established; pilot permissions to be bounded</w:t>
            </w:r>
          </w:p>
        </w:tc>
        <w:tc>
          <w:tcPr>
            <w:tcW w:type="dxa" w:w="1480"/>
          </w:tcPr>
          <w:p>
            <w:r>
              <w:rPr>
                <w:sz w:val="14"/>
              </w:rPr>
              <w:t>Tier 3 High</w:t>
            </w:r>
          </w:p>
        </w:tc>
        <w:tc>
          <w:tcPr>
            <w:tcW w:type="dxa" w:w="1480"/>
          </w:tcPr>
          <w:p>
            <w:r>
              <w:rPr>
                <w:sz w:val="14"/>
              </w:rPr>
              <w:t>Human-in-the-loop: pilot responses are reviewed by Customer Service before any customer-facing use</w:t>
            </w:r>
          </w:p>
        </w:tc>
        <w:tc>
          <w:tcPr>
            <w:tcW w:type="dxa" w:w="1480"/>
          </w:tcPr>
          <w:p>
            <w:r>
              <w:rPr>
                <w:sz w:val="14"/>
              </w:rPr>
              <w:t>Not yet live, pilot only after controls</w:t>
            </w:r>
          </w:p>
        </w:tc>
      </w:tr>
      <w:tr>
        <w:tc>
          <w:tcPr>
            <w:tcW w:type="dxa" w:w="1480"/>
          </w:tcPr>
          <w:p>
            <w:r>
              <w:rPr>
                <w:sz w:val="14"/>
              </w:rPr>
              <w:t>AI-13</w:t>
            </w:r>
          </w:p>
        </w:tc>
        <w:tc>
          <w:tcPr>
            <w:tcW w:type="dxa" w:w="1480"/>
          </w:tcPr>
          <w:p>
            <w:r>
              <w:rPr>
                <w:sz w:val="14"/>
              </w:rPr>
              <w:t>Code assistant used by the outsourced web developer</w:t>
            </w:r>
          </w:p>
        </w:tc>
        <w:tc>
          <w:tcPr>
            <w:tcW w:type="dxa" w:w="1480"/>
          </w:tcPr>
          <w:p>
            <w:r>
              <w:rPr>
                <w:sz w:val="14"/>
              </w:rPr>
              <w:t>Code assistant used by the outsourced web developer; vendor to confirm</w:t>
            </w:r>
          </w:p>
        </w:tc>
        <w:tc>
          <w:tcPr>
            <w:tcW w:type="dxa" w:w="1480"/>
          </w:tcPr>
          <w:p>
            <w:r>
              <w:rPr>
                <w:sz w:val="14"/>
              </w:rPr>
              <w:t>IT Manager</w:t>
            </w:r>
          </w:p>
        </w:tc>
        <w:tc>
          <w:tcPr>
            <w:tcW w:type="dxa" w:w="1480"/>
          </w:tcPr>
          <w:p>
            <w:r>
              <w:rPr>
                <w:sz w:val="14"/>
              </w:rPr>
              <w:t>Outsourced web developer (1 contractor)</w:t>
            </w:r>
          </w:p>
        </w:tc>
        <w:tc>
          <w:tcPr>
            <w:tcW w:type="dxa" w:w="1480"/>
          </w:tcPr>
          <w:p>
            <w:r>
              <w:rPr>
                <w:sz w:val="14"/>
              </w:rPr>
              <w:t>Source code and technical information; personal data should not be included in prompts</w:t>
            </w:r>
          </w:p>
        </w:tc>
        <w:tc>
          <w:tcPr>
            <w:tcW w:type="dxa" w:w="1480"/>
          </w:tcPr>
          <w:p>
            <w:r>
              <w:rPr>
                <w:sz w:val="14"/>
              </w:rPr>
              <w:t>Developer submits code or prompts; repository and deployment permissions to confirm</w:t>
            </w:r>
          </w:p>
        </w:tc>
        <w:tc>
          <w:tcPr>
            <w:tcW w:type="dxa" w:w="1480"/>
          </w:tcPr>
          <w:p>
            <w:r>
              <w:rPr>
                <w:sz w:val="14"/>
              </w:rPr>
              <w:t>Tier 1 Low</w:t>
            </w:r>
          </w:p>
        </w:tc>
        <w:tc>
          <w:tcPr>
            <w:tcW w:type="dxa" w:w="1480"/>
          </w:tcPr>
          <w:p>
            <w:r>
              <w:rPr>
                <w:sz w:val="14"/>
              </w:rPr>
              <w:t>Human-in-the-loop: outsourced developer reviews and tests suggestions before changes are approved</w:t>
            </w:r>
          </w:p>
        </w:tc>
        <w:tc>
          <w:tcPr>
            <w:tcW w:type="dxa" w:w="1480"/>
          </w:tcPr>
          <w:p>
            <w:r>
              <w:rPr>
                <w:sz w:val="14"/>
              </w:rPr>
              <w:t>Approved with conditions</w:t>
            </w:r>
          </w:p>
        </w:tc>
      </w:tr>
      <w:tr>
        <w:tc>
          <w:tcPr>
            <w:tcW w:type="dxa" w:w="1480"/>
          </w:tcPr>
          <w:p>
            <w:r>
              <w:rPr>
                <w:sz w:val="14"/>
              </w:rPr>
              <w:t>AI-14</w:t>
            </w:r>
          </w:p>
        </w:tc>
        <w:tc>
          <w:tcPr>
            <w:tcW w:type="dxa" w:w="1480"/>
          </w:tcPr>
          <w:p>
            <w:r>
              <w:rPr>
                <w:sz w:val="14"/>
              </w:rPr>
              <w:t>Demand forecasting in the inventory system</w:t>
            </w:r>
          </w:p>
        </w:tc>
        <w:tc>
          <w:tcPr>
            <w:tcW w:type="dxa" w:w="1480"/>
          </w:tcPr>
          <w:p>
            <w:r>
              <w:rPr>
                <w:sz w:val="14"/>
              </w:rPr>
              <w:t>Cloud inventory system</w:t>
            </w:r>
          </w:p>
        </w:tc>
        <w:tc>
          <w:tcPr>
            <w:tcW w:type="dxa" w:w="1480"/>
          </w:tcPr>
          <w:p>
            <w:r>
              <w:rPr>
                <w:sz w:val="14"/>
              </w:rPr>
              <w:t>Purchasing Lead</w:t>
            </w:r>
          </w:p>
        </w:tc>
        <w:tc>
          <w:tcPr>
            <w:tcW w:type="dxa" w:w="1480"/>
          </w:tcPr>
          <w:p>
            <w:r>
              <w:rPr>
                <w:sz w:val="14"/>
              </w:rPr>
              <w:t>Purchasing team (3 users)</w:t>
            </w:r>
          </w:p>
        </w:tc>
        <w:tc>
          <w:tcPr>
            <w:tcW w:type="dxa" w:w="1480"/>
          </w:tcPr>
          <w:p>
            <w:r>
              <w:rPr>
                <w:sz w:val="14"/>
              </w:rPr>
              <w:t>Product sales and stock history; no personal data intended</w:t>
            </w:r>
          </w:p>
        </w:tc>
        <w:tc>
          <w:tcPr>
            <w:tcW w:type="dxa" w:w="1480"/>
          </w:tcPr>
          <w:p>
            <w:r>
              <w:rPr>
                <w:sz w:val="14"/>
              </w:rPr>
              <w:t>Reads inventory and sales history; produces forecasts; purchasing changes remain with staff</w:t>
            </w:r>
          </w:p>
        </w:tc>
        <w:tc>
          <w:tcPr>
            <w:tcW w:type="dxa" w:w="1480"/>
          </w:tcPr>
          <w:p>
            <w:r>
              <w:rPr>
                <w:sz w:val="14"/>
              </w:rPr>
              <w:t>Tier 2 Medium</w:t>
            </w:r>
          </w:p>
        </w:tc>
        <w:tc>
          <w:tcPr>
            <w:tcW w:type="dxa" w:w="1480"/>
          </w:tcPr>
          <w:p>
            <w:r>
              <w:rPr>
                <w:sz w:val="14"/>
              </w:rPr>
              <w:t>Human-over-the-loop: Purchasing Lead reviews forecast exceptions and stock decisions</w:t>
            </w:r>
          </w:p>
        </w:tc>
        <w:tc>
          <w:tcPr>
            <w:tcW w:type="dxa" w:w="1480"/>
          </w:tcPr>
          <w:p>
            <w:r>
              <w:rPr>
                <w:sz w:val="14"/>
              </w:rPr>
              <w:t>Approved</w:t>
            </w:r>
          </w:p>
        </w:tc>
      </w:tr>
      <w:tr>
        <w:tc>
          <w:tcPr>
            <w:tcW w:type="dxa" w:w="1480"/>
          </w:tcPr>
          <w:p>
            <w:r>
              <w:rPr>
                <w:sz w:val="14"/>
              </w:rPr>
              <w:t>AI-15</w:t>
            </w:r>
          </w:p>
        </w:tc>
        <w:tc>
          <w:tcPr>
            <w:tcW w:type="dxa" w:w="1480"/>
          </w:tcPr>
          <w:p>
            <w:r>
              <w:rPr>
                <w:sz w:val="14"/>
              </w:rPr>
              <w:t>Translation of supplier correspondence</w:t>
            </w:r>
          </w:p>
        </w:tc>
        <w:tc>
          <w:tcPr>
            <w:tcW w:type="dxa" w:w="1480"/>
          </w:tcPr>
          <w:p>
            <w:r>
              <w:rPr>
                <w:sz w:val="14"/>
              </w:rPr>
              <w:t>Tool/vendor to confirm</w:t>
            </w:r>
          </w:p>
        </w:tc>
        <w:tc>
          <w:tcPr>
            <w:tcW w:type="dxa" w:w="1480"/>
          </w:tcPr>
          <w:p>
            <w:r>
              <w:rPr>
                <w:sz w:val="14"/>
              </w:rPr>
              <w:t>Purchasing Lead</w:t>
            </w:r>
          </w:p>
        </w:tc>
        <w:tc>
          <w:tcPr>
            <w:tcW w:type="dxa" w:w="1480"/>
          </w:tcPr>
          <w:p>
            <w:r>
              <w:rPr>
                <w:sz w:val="14"/>
              </w:rPr>
              <w:t>Purchasing team (3 users)</w:t>
            </w:r>
          </w:p>
        </w:tc>
        <w:tc>
          <w:tcPr>
            <w:tcW w:type="dxa" w:w="1480"/>
          </w:tcPr>
          <w:p>
            <w:r>
              <w:rPr>
                <w:sz w:val="14"/>
              </w:rPr>
              <w:t>Supplier correspondence and contact details; commercial terms</w:t>
            </w:r>
          </w:p>
        </w:tc>
        <w:tc>
          <w:tcPr>
            <w:tcW w:type="dxa" w:w="1480"/>
          </w:tcPr>
          <w:p>
            <w:r>
              <w:rPr>
                <w:sz w:val="14"/>
              </w:rPr>
              <w:t>Reads supplied text and produces translated drafts; no sending permission</w:t>
            </w:r>
          </w:p>
        </w:tc>
        <w:tc>
          <w:tcPr>
            <w:tcW w:type="dxa" w:w="1480"/>
          </w:tcPr>
          <w:p>
            <w:r>
              <w:rPr>
                <w:sz w:val="14"/>
              </w:rPr>
              <w:t>Tier 1 Low</w:t>
            </w:r>
          </w:p>
        </w:tc>
        <w:tc>
          <w:tcPr>
            <w:tcW w:type="dxa" w:w="1480"/>
          </w:tcPr>
          <w:p>
            <w:r>
              <w:rPr>
                <w:sz w:val="14"/>
              </w:rPr>
              <w:t>Human-in-the-loop: Purchasing user checks material terms before responding or placing an order</w:t>
            </w:r>
          </w:p>
        </w:tc>
        <w:tc>
          <w:tcPr>
            <w:tcW w:type="dxa" w:w="1480"/>
          </w:tcPr>
          <w:p>
            <w:r>
              <w:rPr>
                <w:sz w:val="14"/>
              </w:rPr>
              <w:t>Approved with conditions</w:t>
            </w:r>
          </w:p>
        </w:tc>
      </w:tr>
      <w:tr>
        <w:tc>
          <w:tcPr>
            <w:tcW w:type="dxa" w:w="1480"/>
          </w:tcPr>
          <w:p>
            <w:r>
              <w:rPr>
                <w:sz w:val="14"/>
              </w:rPr>
              <w:t>AI-16</w:t>
            </w:r>
          </w:p>
        </w:tc>
        <w:tc>
          <w:tcPr>
            <w:tcW w:type="dxa" w:w="1480"/>
          </w:tcPr>
          <w:p>
            <w:r>
              <w:rPr>
                <w:sz w:val="14"/>
              </w:rPr>
              <w:t>Credit-limit recommendation for B2B accounts</w:t>
            </w:r>
          </w:p>
        </w:tc>
        <w:tc>
          <w:tcPr>
            <w:tcW w:type="dxa" w:w="1480"/>
          </w:tcPr>
          <w:p>
            <w:r>
              <w:rPr>
                <w:sz w:val="14"/>
              </w:rPr>
              <w:t>Accounting add-on; vendor to confirm</w:t>
            </w:r>
          </w:p>
        </w:tc>
        <w:tc>
          <w:tcPr>
            <w:tcW w:type="dxa" w:w="1480"/>
          </w:tcPr>
          <w:p>
            <w:r>
              <w:rPr>
                <w:sz w:val="14"/>
              </w:rPr>
              <w:t>Finance Director</w:t>
            </w:r>
          </w:p>
        </w:tc>
        <w:tc>
          <w:tcPr>
            <w:tcW w:type="dxa" w:w="1480"/>
          </w:tcPr>
          <w:p>
            <w:r>
              <w:rPr>
                <w:sz w:val="14"/>
              </w:rPr>
              <w:t>Finance team (2 users); B2B account holders affected</w:t>
            </w:r>
          </w:p>
        </w:tc>
        <w:tc>
          <w:tcPr>
            <w:tcW w:type="dxa" w:w="1480"/>
          </w:tcPr>
          <w:p>
            <w:r>
              <w:rPr>
                <w:sz w:val="14"/>
              </w:rPr>
              <w:t>B2B account and transaction information; contact details; credit-related business records</w:t>
            </w:r>
          </w:p>
        </w:tc>
        <w:tc>
          <w:tcPr>
            <w:tcW w:type="dxa" w:w="1480"/>
          </w:tcPr>
          <w:p>
            <w:r>
              <w:rPr>
                <w:sz w:val="14"/>
              </w:rPr>
              <w:t>Recommendation use only; automatic credit decisions are not permitted</w:t>
            </w:r>
          </w:p>
        </w:tc>
        <w:tc>
          <w:tcPr>
            <w:tcW w:type="dxa" w:w="1480"/>
          </w:tcPr>
          <w:p>
            <w:r>
              <w:rPr>
                <w:sz w:val="14"/>
              </w:rPr>
              <w:t>Tier 3 High</w:t>
            </w:r>
          </w:p>
        </w:tc>
        <w:tc>
          <w:tcPr>
            <w:tcW w:type="dxa" w:w="1480"/>
          </w:tcPr>
          <w:p>
            <w:r>
              <w:rPr>
                <w:sz w:val="14"/>
              </w:rPr>
              <w:t>Human-in-the-loop: Finance Director or authorised finance staff make the decision; no automatic limit changes</w:t>
            </w:r>
          </w:p>
        </w:tc>
        <w:tc>
          <w:tcPr>
            <w:tcW w:type="dxa" w:w="1480"/>
          </w:tcPr>
          <w:p>
            <w:r>
              <w:rPr>
                <w:sz w:val="14"/>
              </w:rPr>
              <w:t>Not permitted for automatic decisions; human decides</w:t>
            </w:r>
          </w:p>
        </w:tc>
      </w:tr>
      <w:tr>
        <w:tc>
          <w:tcPr>
            <w:tcW w:type="dxa" w:w="1480"/>
          </w:tcPr>
          <w:p>
            <w:r>
              <w:rPr>
                <w:sz w:val="14"/>
              </w:rPr>
              <w:t>AI-17</w:t>
            </w:r>
          </w:p>
        </w:tc>
        <w:tc>
          <w:tcPr>
            <w:tcW w:type="dxa" w:w="1480"/>
          </w:tcPr>
          <w:p>
            <w:r>
              <w:rPr>
                <w:sz w:val="14"/>
              </w:rPr>
              <w:t>Fraud flagging on web-shop orders</w:t>
            </w:r>
          </w:p>
        </w:tc>
        <w:tc>
          <w:tcPr>
            <w:tcW w:type="dxa" w:w="1480"/>
          </w:tcPr>
          <w:p>
            <w:r>
              <w:rPr>
                <w:sz w:val="14"/>
              </w:rPr>
              <w:t>Payment provider feature; vendor to confirm</w:t>
            </w:r>
          </w:p>
        </w:tc>
        <w:tc>
          <w:tcPr>
            <w:tcW w:type="dxa" w:w="1480"/>
          </w:tcPr>
          <w:p>
            <w:r>
              <w:rPr>
                <w:sz w:val="14"/>
              </w:rPr>
              <w:t>Finance Director</w:t>
            </w:r>
          </w:p>
        </w:tc>
        <w:tc>
          <w:tcPr>
            <w:tcW w:type="dxa" w:w="1480"/>
          </w:tcPr>
          <w:p>
            <w:r>
              <w:rPr>
                <w:sz w:val="14"/>
              </w:rPr>
              <w:t>Finance team (2 users); Customer Service handles disputes</w:t>
            </w:r>
          </w:p>
        </w:tc>
        <w:tc>
          <w:tcPr>
            <w:tcW w:type="dxa" w:w="1480"/>
          </w:tcPr>
          <w:p>
            <w:r>
              <w:rPr>
                <w:sz w:val="14"/>
              </w:rPr>
              <w:t>Order and payment-related information; customer identifiers and transaction details</w:t>
            </w:r>
          </w:p>
        </w:tc>
        <w:tc>
          <w:tcPr>
            <w:tcW w:type="dxa" w:w="1480"/>
          </w:tcPr>
          <w:p>
            <w:r>
              <w:rPr>
                <w:sz w:val="14"/>
              </w:rPr>
              <w:t>Reads order or payment signals and flags transactions; blocking or payment actions to confirm</w:t>
            </w:r>
          </w:p>
        </w:tc>
        <w:tc>
          <w:tcPr>
            <w:tcW w:type="dxa" w:w="1480"/>
          </w:tcPr>
          <w:p>
            <w:r>
              <w:rPr>
                <w:sz w:val="14"/>
              </w:rPr>
              <w:t>Tier 2 Medium</w:t>
            </w:r>
          </w:p>
        </w:tc>
        <w:tc>
          <w:tcPr>
            <w:tcW w:type="dxa" w:w="1480"/>
          </w:tcPr>
          <w:p>
            <w:r>
              <w:rPr>
                <w:sz w:val="14"/>
              </w:rPr>
              <w:t>Human-in-the-loop: staff review flags before taking adverse action on an order</w:t>
            </w:r>
          </w:p>
        </w:tc>
        <w:tc>
          <w:tcPr>
            <w:tcW w:type="dxa" w:w="1480"/>
          </w:tcPr>
          <w:p>
            <w:r>
              <w:rPr>
                <w:sz w:val="14"/>
              </w:rPr>
              <w:t>Approved with conditions</w:t>
            </w:r>
          </w:p>
        </w:tc>
      </w:tr>
      <w:tr>
        <w:tc>
          <w:tcPr>
            <w:tcW w:type="dxa" w:w="1480"/>
          </w:tcPr>
          <w:p>
            <w:r>
              <w:rPr>
                <w:sz w:val="14"/>
              </w:rPr>
              <w:t>AI-18</w:t>
            </w:r>
          </w:p>
        </w:tc>
        <w:tc>
          <w:tcPr>
            <w:tcW w:type="dxa" w:w="1480"/>
          </w:tcPr>
          <w:p>
            <w:r>
              <w:rPr>
                <w:sz w:val="14"/>
              </w:rPr>
              <w:t>Delivery route suggestions</w:t>
            </w:r>
          </w:p>
        </w:tc>
        <w:tc>
          <w:tcPr>
            <w:tcW w:type="dxa" w:w="1480"/>
          </w:tcPr>
          <w:p>
            <w:r>
              <w:rPr>
                <w:sz w:val="14"/>
              </w:rPr>
              <w:t>Malaysia fulfilment partner system</w:t>
            </w:r>
          </w:p>
        </w:tc>
        <w:tc>
          <w:tcPr>
            <w:tcW w:type="dxa" w:w="1480"/>
          </w:tcPr>
          <w:p>
            <w:r>
              <w:rPr>
                <w:sz w:val="14"/>
              </w:rPr>
              <w:t>Head of Operations</w:t>
            </w:r>
          </w:p>
        </w:tc>
        <w:tc>
          <w:tcPr>
            <w:tcW w:type="dxa" w:w="1480"/>
          </w:tcPr>
          <w:p>
            <w:r>
              <w:rPr>
                <w:sz w:val="14"/>
              </w:rPr>
              <w:t>Partner dispatch staff; Operations team views routes</w:t>
            </w:r>
          </w:p>
        </w:tc>
        <w:tc>
          <w:tcPr>
            <w:tcW w:type="dxa" w:w="1480"/>
          </w:tcPr>
          <w:p>
            <w:r>
              <w:rPr>
                <w:sz w:val="14"/>
              </w:rPr>
              <w:t>Delivery addresses and order details; customer contact information if shared</w:t>
            </w:r>
          </w:p>
        </w:tc>
        <w:tc>
          <w:tcPr>
            <w:tcW w:type="dxa" w:w="1480"/>
          </w:tcPr>
          <w:p>
            <w:r>
              <w:rPr>
                <w:sz w:val="14"/>
              </w:rPr>
              <w:t>Partner system reads fulfilment details and suggests routes; access and write actions to confirm</w:t>
            </w:r>
          </w:p>
        </w:tc>
        <w:tc>
          <w:tcPr>
            <w:tcW w:type="dxa" w:w="1480"/>
          </w:tcPr>
          <w:p>
            <w:r>
              <w:rPr>
                <w:sz w:val="14"/>
              </w:rPr>
              <w:t>Tier 1 Low</w:t>
            </w:r>
          </w:p>
        </w:tc>
        <w:tc>
          <w:tcPr>
            <w:tcW w:type="dxa" w:w="1480"/>
          </w:tcPr>
          <w:p>
            <w:r>
              <w:rPr>
                <w:sz w:val="14"/>
              </w:rPr>
              <w:t>Human-over-the-loop: partner operations review exceptions and route changes</w:t>
            </w:r>
          </w:p>
        </w:tc>
        <w:tc>
          <w:tcPr>
            <w:tcW w:type="dxa" w:w="1480"/>
          </w:tcPr>
          <w:p>
            <w:r>
              <w:rPr>
                <w:sz w:val="14"/>
              </w:rPr>
              <w:t>Approved</w:t>
            </w:r>
          </w:p>
        </w:tc>
      </w:tr>
      <w:tr>
        <w:tc>
          <w:tcPr>
            <w:tcW w:type="dxa" w:w="1480"/>
          </w:tcPr>
          <w:p>
            <w:r>
              <w:rPr>
                <w:sz w:val="14"/>
              </w:rPr>
              <w:t>AI-19</w:t>
            </w:r>
          </w:p>
        </w:tc>
        <w:tc>
          <w:tcPr>
            <w:tcW w:type="dxa" w:w="1480"/>
          </w:tcPr>
          <w:p>
            <w:r>
              <w:rPr>
                <w:sz w:val="14"/>
              </w:rPr>
              <w:t>Internal HR policy Q&amp;A assistant</w:t>
            </w:r>
          </w:p>
        </w:tc>
        <w:tc>
          <w:tcPr>
            <w:tcW w:type="dxa" w:w="1480"/>
          </w:tcPr>
          <w:p>
            <w:r>
              <w:rPr>
                <w:sz w:val="14"/>
              </w:rPr>
              <w:t>Microsoft 365 Copilot (company licences, 25 seats)</w:t>
            </w:r>
          </w:p>
        </w:tc>
        <w:tc>
          <w:tcPr>
            <w:tcW w:type="dxa" w:w="1480"/>
          </w:tcPr>
          <w:p>
            <w:r>
              <w:rPr>
                <w:sz w:val="14"/>
              </w:rPr>
              <w:t>HR Manager</w:t>
            </w:r>
          </w:p>
        </w:tc>
        <w:tc>
          <w:tcPr>
            <w:tcW w:type="dxa" w:w="1480"/>
          </w:tcPr>
          <w:p>
            <w:r>
              <w:rPr>
                <w:sz w:val="14"/>
              </w:rPr>
              <w:t>Pilot group of 10 staff; HR Manager owns content</w:t>
            </w:r>
          </w:p>
        </w:tc>
        <w:tc>
          <w:tcPr>
            <w:tcW w:type="dxa" w:w="1480"/>
          </w:tcPr>
          <w:p>
            <w:r>
              <w:rPr>
                <w:sz w:val="14"/>
              </w:rPr>
              <w:t>HR policy content; staff questions may include personal information</w:t>
            </w:r>
          </w:p>
        </w:tc>
        <w:tc>
          <w:tcPr>
            <w:tcW w:type="dxa" w:w="1480"/>
          </w:tcPr>
          <w:p>
            <w:r>
              <w:rPr>
                <w:sz w:val="14"/>
              </w:rPr>
              <w:t>Proposed access to HR handbook; access to employee records is not established and must be confirmed</w:t>
            </w:r>
          </w:p>
        </w:tc>
        <w:tc>
          <w:tcPr>
            <w:tcW w:type="dxa" w:w="1480"/>
          </w:tcPr>
          <w:p>
            <w:r>
              <w:rPr>
                <w:sz w:val="14"/>
              </w:rPr>
              <w:t>Tier 2 Medium</w:t>
            </w:r>
          </w:p>
        </w:tc>
        <w:tc>
          <w:tcPr>
            <w:tcW w:type="dxa" w:w="1480"/>
          </w:tcPr>
          <w:p>
            <w:r>
              <w:rPr>
                <w:sz w:val="14"/>
              </w:rPr>
              <w:t>Human-in-the-loop: HR checks pilot answers and handles decisions or personal cases</w:t>
            </w:r>
          </w:p>
        </w:tc>
        <w:tc>
          <w:tcPr>
            <w:tcW w:type="dxa" w:w="1480"/>
          </w:tcPr>
          <w:p>
            <w:r>
              <w:rPr>
                <w:sz w:val="14"/>
              </w:rPr>
              <w:t>Pilot</w:t>
            </w:r>
          </w:p>
        </w:tc>
      </w:tr>
      <w:tr>
        <w:tc>
          <w:tcPr>
            <w:tcW w:type="dxa" w:w="1480"/>
          </w:tcPr>
          <w:p>
            <w:r>
              <w:rPr>
                <w:sz w:val="14"/>
              </w:rPr>
              <w:t>AI-20</w:t>
            </w:r>
          </w:p>
        </w:tc>
        <w:tc>
          <w:tcPr>
            <w:tcW w:type="dxa" w:w="1480"/>
          </w:tcPr>
          <w:p>
            <w:r>
              <w:rPr>
                <w:sz w:val="14"/>
              </w:rPr>
              <w:t>Social media reply drafting</w:t>
            </w:r>
          </w:p>
        </w:tc>
        <w:tc>
          <w:tcPr>
            <w:tcW w:type="dxa" w:w="1480"/>
          </w:tcPr>
          <w:p>
            <w:r>
              <w:rPr>
                <w:sz w:val="14"/>
              </w:rPr>
              <w:t>Fictional Draft Studio</w:t>
            </w:r>
          </w:p>
        </w:tc>
        <w:tc>
          <w:tcPr>
            <w:tcW w:type="dxa" w:w="1480"/>
          </w:tcPr>
          <w:p>
            <w:r>
              <w:rPr>
                <w:sz w:val="14"/>
              </w:rPr>
              <w:t>Head of Marketing</w:t>
            </w:r>
          </w:p>
        </w:tc>
        <w:tc>
          <w:tcPr>
            <w:tcW w:type="dxa" w:w="1480"/>
          </w:tcPr>
          <w:p>
            <w:r>
              <w:rPr>
                <w:sz w:val="14"/>
              </w:rPr>
              <w:t>Marketing team (2 users)</w:t>
            </w:r>
          </w:p>
        </w:tc>
        <w:tc>
          <w:tcPr>
            <w:tcW w:type="dxa" w:w="1480"/>
          </w:tcPr>
          <w:p>
            <w:r>
              <w:rPr>
                <w:sz w:val="14"/>
              </w:rPr>
              <w:t>Public comments and messages; may include customer contact or personal information</w:t>
            </w:r>
          </w:p>
        </w:tc>
        <w:tc>
          <w:tcPr>
            <w:tcW w:type="dxa" w:w="1480"/>
          </w:tcPr>
          <w:p>
            <w:r>
              <w:rPr>
                <w:sz w:val="14"/>
              </w:rPr>
              <w:t>Reads supplied comments and drafts replies; no posting permission</w:t>
            </w:r>
          </w:p>
        </w:tc>
        <w:tc>
          <w:tcPr>
            <w:tcW w:type="dxa" w:w="1480"/>
          </w:tcPr>
          <w:p>
            <w:r>
              <w:rPr>
                <w:sz w:val="14"/>
              </w:rPr>
              <w:t>Tier 1 Low</w:t>
            </w:r>
          </w:p>
        </w:tc>
        <w:tc>
          <w:tcPr>
            <w:tcW w:type="dxa" w:w="1480"/>
          </w:tcPr>
          <w:p>
            <w:r>
              <w:rPr>
                <w:sz w:val="14"/>
              </w:rPr>
              <w:t>Human-in-the-loop: Head of Marketing or authorised user checks and posts each reply</w:t>
            </w:r>
          </w:p>
        </w:tc>
        <w:tc>
          <w:tcPr>
            <w:tcW w:type="dxa" w:w="1480"/>
          </w:tcPr>
          <w:p>
            <w:r>
              <w:rPr>
                <w:sz w:val="14"/>
              </w:rPr>
              <w:t>Approved with conditions</w:t>
            </w:r>
          </w:p>
        </w:tc>
      </w:tr>
    </w:tbl>
    <w:p/>
    <w:p>
      <w:pPr>
        <w:pStyle w:val="Heading2"/>
      </w:pPr>
      <w:r>
        <w:t>Register, part 2: rationale, controls, mapping and evidence</w:t>
      </w:r>
    </w:p>
    <w:tbl>
      <w:tblPr>
        <w:tblStyle w:val="TableGrid"/>
        <w:tblW w:type="auto" w:w="0"/>
        <w:tblLook w:firstColumn="1" w:firstRow="1" w:lastColumn="0" w:lastRow="0" w:noHBand="0" w:noVBand="1" w:val="04A0"/>
      </w:tblPr>
      <w:tblGrid>
        <w:gridCol w:w="1850"/>
        <w:gridCol w:w="1850"/>
        <w:gridCol w:w="1850"/>
        <w:gridCol w:w="1850"/>
        <w:gridCol w:w="1850"/>
        <w:gridCol w:w="1850"/>
        <w:gridCol w:w="1850"/>
        <w:gridCol w:w="1850"/>
      </w:tblGrid>
      <w:tr>
        <w:trPr>
          <w:tblHeader w:val="true"/>
        </w:trPr>
        <w:tc>
          <w:tcPr>
            <w:tcW w:type="dxa" w:w="1850"/>
            <w:shd w:val="clear" w:color="auto" w:fill="E9EDF1"/>
          </w:tcPr>
          <w:p>
            <w:r>
              <w:rPr>
                <w:b/>
                <w:sz w:val="14"/>
              </w:rPr>
              <w:t>ID</w:t>
            </w:r>
          </w:p>
        </w:tc>
        <w:tc>
          <w:tcPr>
            <w:tcW w:type="dxa" w:w="1850"/>
            <w:shd w:val="clear" w:color="auto" w:fill="E9EDF1"/>
          </w:tcPr>
          <w:p>
            <w:r>
              <w:rPr>
                <w:b/>
                <w:sz w:val="14"/>
              </w:rPr>
              <w:t>Tier rationale</w:t>
            </w:r>
          </w:p>
        </w:tc>
        <w:tc>
          <w:tcPr>
            <w:tcW w:type="dxa" w:w="1850"/>
            <w:shd w:val="clear" w:color="auto" w:fill="E9EDF1"/>
          </w:tcPr>
          <w:p>
            <w:r>
              <w:rPr>
                <w:b/>
                <w:sz w:val="14"/>
              </w:rPr>
              <w:t>Key controls</w:t>
            </w:r>
          </w:p>
        </w:tc>
        <w:tc>
          <w:tcPr>
            <w:tcW w:type="dxa" w:w="1850"/>
            <w:shd w:val="clear" w:color="auto" w:fill="E9EDF1"/>
          </w:tcPr>
          <w:p>
            <w:r>
              <w:rPr>
                <w:b/>
                <w:sz w:val="14"/>
              </w:rPr>
              <w:t>Framework mapping</w:t>
            </w:r>
          </w:p>
        </w:tc>
        <w:tc>
          <w:tcPr>
            <w:tcW w:type="dxa" w:w="1850"/>
            <w:shd w:val="clear" w:color="auto" w:fill="E9EDF1"/>
          </w:tcPr>
          <w:p>
            <w:r>
              <w:rPr>
                <w:b/>
                <w:sz w:val="14"/>
              </w:rPr>
              <w:t>Evidence status</w:t>
            </w:r>
          </w:p>
        </w:tc>
        <w:tc>
          <w:tcPr>
            <w:tcW w:type="dxa" w:w="1850"/>
            <w:shd w:val="clear" w:color="auto" w:fill="E9EDF1"/>
          </w:tcPr>
          <w:p>
            <w:r>
              <w:rPr>
                <w:b/>
                <w:sz w:val="14"/>
              </w:rPr>
              <w:t>Review trigger</w:t>
            </w:r>
          </w:p>
        </w:tc>
        <w:tc>
          <w:tcPr>
            <w:tcW w:type="dxa" w:w="1850"/>
            <w:shd w:val="clear" w:color="auto" w:fill="E9EDF1"/>
          </w:tcPr>
          <w:p>
            <w:r>
              <w:rPr>
                <w:b/>
                <w:sz w:val="14"/>
              </w:rPr>
              <w:t>Next review</w:t>
            </w:r>
          </w:p>
        </w:tc>
        <w:tc>
          <w:tcPr>
            <w:tcW w:type="dxa" w:w="1850"/>
            <w:shd w:val="clear" w:color="auto" w:fill="E9EDF1"/>
          </w:tcPr>
          <w:p>
            <w:r>
              <w:rPr>
                <w:b/>
                <w:sz w:val="14"/>
              </w:rPr>
              <w:t>Linked</w:t>
            </w:r>
          </w:p>
        </w:tc>
      </w:tr>
      <w:tr>
        <w:tc>
          <w:tcPr>
            <w:tcW w:type="dxa" w:w="1850"/>
          </w:tcPr>
          <w:p>
            <w:r>
              <w:rPr>
                <w:sz w:val="14"/>
              </w:rPr>
              <w:t>AI-01</w:t>
            </w:r>
          </w:p>
        </w:tc>
        <w:tc>
          <w:tcPr>
            <w:tcW w:type="dxa" w:w="1850"/>
          </w:tcPr>
          <w:p>
            <w:r>
              <w:rPr>
                <w:sz w:val="14"/>
              </w:rPr>
              <w:t>Low potential harm; no personal data intended; drafts only; errors are reversible before publication.</w:t>
            </w:r>
          </w:p>
        </w:tc>
        <w:tc>
          <w:tcPr>
            <w:tcW w:type="dxa" w:w="1850"/>
          </w:tcPr>
          <w:p>
            <w:r>
              <w:rPr>
                <w:sz w:val="14"/>
              </w:rPr>
              <w:t>Use approved product facts only; check claims and restricted content; human approval before publication</w:t>
            </w:r>
          </w:p>
        </w:tc>
        <w:tc>
          <w:tcPr>
            <w:tcW w:type="dxa" w:w="1850"/>
          </w:tcPr>
          <w:p>
            <w:r>
              <w:rPr>
                <w:sz w:val="14"/>
              </w:rPr>
              <w:t>MGF 2020: operations management; GenAI MGF 2024: content provenance</w:t>
            </w:r>
          </w:p>
        </w:tc>
        <w:tc>
          <w:tcPr>
            <w:tcW w:type="dxa" w:w="1850"/>
            <w:shd w:val="clear" w:color="auto" w:fill="FBF3DF"/>
          </w:tcPr>
          <w:p>
            <w:r>
              <w:rPr>
                <w:sz w:val="14"/>
              </w:rPr>
              <w:t>Partial: prompt, access settings and review records not supplied</w:t>
            </w:r>
          </w:p>
        </w:tc>
        <w:tc>
          <w:tcPr>
            <w:tcW w:type="dxa" w:w="1850"/>
          </w:tcPr>
          <w:p>
            <w:r>
              <w:rPr>
                <w:sz w:val="14"/>
              </w:rPr>
              <w:t>Tool access changes; personal data proposed for prompts; inaccurate or misleading catalogue copy</w:t>
            </w:r>
          </w:p>
        </w:tc>
        <w:tc>
          <w:tcPr>
            <w:tcW w:type="dxa" w:w="1850"/>
          </w:tcPr>
          <w:p>
            <w:r>
              <w:rPr>
                <w:sz w:val="14"/>
              </w:rPr>
              <w:t>30 Apr 2027</w:t>
            </w:r>
          </w:p>
        </w:tc>
        <w:tc>
          <w:tcPr>
            <w:tcW w:type="dxa" w:w="1850"/>
          </w:tcPr>
          <w:p>
            <w:r>
              <w:rPr>
                <w:sz w:val="14"/>
              </w:rPr>
              <w:t>-</w:t>
            </w:r>
          </w:p>
        </w:tc>
      </w:tr>
      <w:tr>
        <w:tc>
          <w:tcPr>
            <w:tcW w:type="dxa" w:w="1850"/>
          </w:tcPr>
          <w:p>
            <w:r>
              <w:rPr>
                <w:sz w:val="14"/>
              </w:rPr>
              <w:t>AI-02</w:t>
            </w:r>
          </w:p>
        </w:tc>
        <w:tc>
          <w:tcPr>
            <w:tcW w:type="dxa" w:w="1850"/>
          </w:tcPr>
          <w:p>
            <w:r>
              <w:rPr>
                <w:sz w:val="14"/>
              </w:rPr>
              <w:t>Personal data is involved; incorrect advice could affect customers; staff review makes errors more reversible.</w:t>
            </w:r>
          </w:p>
        </w:tc>
        <w:tc>
          <w:tcPr>
            <w:tcW w:type="dxa" w:w="1850"/>
          </w:tcPr>
          <w:p>
            <w:r>
              <w:rPr>
                <w:sz w:val="14"/>
              </w:rPr>
              <w:t>Complete AIA-01; restrict access to authorised users; sample replies and record complaints or errors</w:t>
            </w:r>
          </w:p>
        </w:tc>
        <w:tc>
          <w:tcPr>
            <w:tcW w:type="dxa" w:w="1850"/>
          </w:tcPr>
          <w:p>
            <w:r>
              <w:rPr>
                <w:sz w:val="14"/>
              </w:rPr>
              <w:t>MGF 2020: human involvement; GenAI MGF 2024: data, incident reporting; AI Verify: human agency and oversight</w:t>
            </w:r>
          </w:p>
        </w:tc>
        <w:tc>
          <w:tcPr>
            <w:tcW w:type="dxa" w:w="1850"/>
            <w:shd w:val="clear" w:color="auto" w:fill="FBF3DF"/>
          </w:tcPr>
          <w:p>
            <w:r>
              <w:rPr>
                <w:sz w:val="14"/>
              </w:rPr>
              <w:t>Partial: AIA-01 is identified, but settings, data flow and review evidence are not supplied</w:t>
            </w:r>
          </w:p>
        </w:tc>
        <w:tc>
          <w:tcPr>
            <w:tcW w:type="dxa" w:w="1850"/>
          </w:tcPr>
          <w:p>
            <w:r>
              <w:rPr>
                <w:sz w:val="14"/>
              </w:rPr>
              <w:t>Vendor enables new AI feature; replies can be sent without review; Malaysia orders enter scope; any complaint about a sent reply</w:t>
            </w:r>
          </w:p>
        </w:tc>
        <w:tc>
          <w:tcPr>
            <w:tcW w:type="dxa" w:w="1850"/>
          </w:tcPr>
          <w:p>
            <w:r>
              <w:rPr>
                <w:sz w:val="14"/>
              </w:rPr>
              <w:t>31 Dec 2026</w:t>
            </w:r>
          </w:p>
        </w:tc>
        <w:tc>
          <w:tcPr>
            <w:tcW w:type="dxa" w:w="1850"/>
          </w:tcPr>
          <w:p>
            <w:r>
              <w:rPr>
                <w:sz w:val="14"/>
              </w:rPr>
              <w:t>AIA-01; V-01</w:t>
            </w:r>
          </w:p>
        </w:tc>
      </w:tr>
      <w:tr>
        <w:tc>
          <w:tcPr>
            <w:tcW w:type="dxa" w:w="1850"/>
          </w:tcPr>
          <w:p>
            <w:r>
              <w:rPr>
                <w:sz w:val="14"/>
              </w:rPr>
              <w:t>AI-03</w:t>
            </w:r>
          </w:p>
        </w:tc>
        <w:tc>
          <w:tcPr>
            <w:tcW w:type="dxa" w:w="1850"/>
          </w:tcPr>
          <w:p>
            <w:r>
              <w:rPr>
                <w:sz w:val="14"/>
              </w:rPr>
              <w:t>Supplier data is involved; submitted orders create financial and operational consequences; sending is not readily reversible.</w:t>
            </w:r>
          </w:p>
        </w:tc>
        <w:tc>
          <w:tcPr>
            <w:tcW w:type="dxa" w:w="1850"/>
          </w:tcPr>
          <w:p>
            <w:r>
              <w:rPr>
                <w:sz w:val="14"/>
              </w:rPr>
              <w:t>Complete AIA-02; pilot with bounded suppliers and order limits; require approval and retain sent-order logs</w:t>
            </w:r>
          </w:p>
        </w:tc>
        <w:tc>
          <w:tcPr>
            <w:tcW w:type="dxa" w:w="1850"/>
          </w:tcPr>
          <w:p>
            <w:r>
              <w:rPr>
                <w:sz w:val="14"/>
              </w:rPr>
              <w:t>Agentic MGF 2026: assess and bound the risks upfront; implement technical controls and processes; MGF 2020: human involvement</w:t>
            </w:r>
          </w:p>
        </w:tc>
        <w:tc>
          <w:tcPr>
            <w:tcW w:type="dxa" w:w="1850"/>
            <w:shd w:val="clear" w:color="auto" w:fill="FBF3DF"/>
          </w:tcPr>
          <w:p>
            <w:r>
              <w:rPr>
                <w:sz w:val="14"/>
              </w:rPr>
              <w:t>Partial: AIA-02 is identified, but technical bounds, approval workflow and test evidence are not supplied</w:t>
            </w:r>
          </w:p>
        </w:tc>
        <w:tc>
          <w:tcPr>
            <w:tcW w:type="dxa" w:w="1850"/>
          </w:tcPr>
          <w:p>
            <w:r>
              <w:rPr>
                <w:sz w:val="14"/>
              </w:rPr>
              <w:t>Pilot scope or supplier list changes; order limits change; any unauthorised, duplicate or incorrect order</w:t>
            </w:r>
          </w:p>
        </w:tc>
        <w:tc>
          <w:tcPr>
            <w:tcW w:type="dxa" w:w="1850"/>
          </w:tcPr>
          <w:p>
            <w:r>
              <w:rPr>
                <w:sz w:val="14"/>
              </w:rPr>
              <w:t>31 Dec 2026</w:t>
            </w:r>
          </w:p>
        </w:tc>
        <w:tc>
          <w:tcPr>
            <w:tcW w:type="dxa" w:w="1850"/>
          </w:tcPr>
          <w:p>
            <w:r>
              <w:rPr>
                <w:sz w:val="14"/>
              </w:rPr>
              <w:t>AIA-02; V-02</w:t>
            </w:r>
          </w:p>
        </w:tc>
      </w:tr>
      <w:tr>
        <w:tc>
          <w:tcPr>
            <w:tcW w:type="dxa" w:w="1850"/>
          </w:tcPr>
          <w:p>
            <w:r>
              <w:rPr>
                <w:sz w:val="14"/>
              </w:rPr>
              <w:t>AI-04</w:t>
            </w:r>
          </w:p>
        </w:tc>
        <w:tc>
          <w:tcPr>
            <w:tcW w:type="dxa" w:w="1850"/>
          </w:tcPr>
          <w:p>
            <w:r>
              <w:rPr>
                <w:sz w:val="14"/>
              </w:rPr>
              <w:t>Sensitive employment decisions involve personal data; ranking could affect opportunities and be hard to reverse.</w:t>
            </w:r>
          </w:p>
        </w:tc>
        <w:tc>
          <w:tcPr>
            <w:tcW w:type="dxa" w:w="1850"/>
          </w:tcPr>
          <w:p>
            <w:r>
              <w:rPr>
                <w:sz w:val="14"/>
              </w:rPr>
              <w:t>Complete AIA-03; keep the use on hold; assess fairness, data handling and human decision process before reconsideration</w:t>
            </w:r>
          </w:p>
        </w:tc>
        <w:tc>
          <w:tcPr>
            <w:tcW w:type="dxa" w:w="1850"/>
          </w:tcPr>
          <w:p>
            <w:r>
              <w:rPr>
                <w:sz w:val="14"/>
              </w:rPr>
              <w:t>MGF 2020: human involvement; PDPC AI Guidelines 2024: assessment of personal-data use; AI Verify: fairness, human agency and oversight</w:t>
            </w:r>
          </w:p>
        </w:tc>
        <w:tc>
          <w:tcPr>
            <w:tcW w:type="dxa" w:w="1850"/>
            <w:shd w:val="clear" w:color="auto" w:fill="FBF3DF"/>
          </w:tcPr>
          <w:p>
            <w:r>
              <w:rPr>
                <w:sz w:val="14"/>
              </w:rPr>
              <w:t>Partial: AIA-03 is identified, but vendor due diligence, data details and assessment findings are not supplied</w:t>
            </w:r>
          </w:p>
        </w:tc>
        <w:tc>
          <w:tcPr>
            <w:tcW w:type="dxa" w:w="1850"/>
          </w:tcPr>
          <w:p>
            <w:r>
              <w:rPr>
                <w:sz w:val="14"/>
              </w:rPr>
              <w:t>HR seeks to lift the hold; vendor or ranking method changes; candidate complaint or suspected unfair outcome</w:t>
            </w:r>
          </w:p>
        </w:tc>
        <w:tc>
          <w:tcPr>
            <w:tcW w:type="dxa" w:w="1850"/>
          </w:tcPr>
          <w:p>
            <w:r>
              <w:rPr>
                <w:sz w:val="14"/>
              </w:rPr>
              <w:t>31 Jan 2027</w:t>
            </w:r>
          </w:p>
        </w:tc>
        <w:tc>
          <w:tcPr>
            <w:tcW w:type="dxa" w:w="1850"/>
          </w:tcPr>
          <w:p>
            <w:r>
              <w:rPr>
                <w:sz w:val="14"/>
              </w:rPr>
              <w:t>AIA-03; V-03</w:t>
            </w:r>
          </w:p>
        </w:tc>
      </w:tr>
      <w:tr>
        <w:tc>
          <w:tcPr>
            <w:tcW w:type="dxa" w:w="1850"/>
          </w:tcPr>
          <w:p>
            <w:r>
              <w:rPr>
                <w:sz w:val="14"/>
              </w:rPr>
              <w:t>AI-05</w:t>
            </w:r>
          </w:p>
        </w:tc>
        <w:tc>
          <w:tcPr>
            <w:tcW w:type="dxa" w:w="1850"/>
          </w:tcPr>
          <w:p>
            <w:r>
              <w:rPr>
                <w:sz w:val="14"/>
              </w:rPr>
              <w:t>Business and personal data may be involved; output is advisory, but disclosure or inaccurate content can cause harm.</w:t>
            </w:r>
          </w:p>
        </w:tc>
        <w:tc>
          <w:tcPr>
            <w:tcW w:type="dxa" w:w="1850"/>
          </w:tcPr>
          <w:p>
            <w:r>
              <w:rPr>
                <w:sz w:val="14"/>
              </w:rPr>
              <w:t>Confirm client-reported settings and access; prohibit unapproved personal-data use; train users to verify outputs</w:t>
            </w:r>
          </w:p>
        </w:tc>
        <w:tc>
          <w:tcPr>
            <w:tcW w:type="dxa" w:w="1850"/>
          </w:tcPr>
          <w:p>
            <w:r>
              <w:rPr>
                <w:sz w:val="14"/>
              </w:rPr>
              <w:t>MGF 2020: internal governance structures and measures; GenAI MGF 2024: data, security</w:t>
            </w:r>
          </w:p>
        </w:tc>
        <w:tc>
          <w:tcPr>
            <w:tcW w:type="dxa" w:w="1850"/>
            <w:shd w:val="clear" w:color="auto" w:fill="FBF3DF"/>
          </w:tcPr>
          <w:p>
            <w:r>
              <w:rPr>
                <w:sz w:val="14"/>
              </w:rPr>
              <w:t>Partial: licence count is client-reported; settings, access review and usage evidence are not supplied</w:t>
            </w:r>
          </w:p>
        </w:tc>
        <w:tc>
          <w:tcPr>
            <w:tcW w:type="dxa" w:w="1850"/>
          </w:tcPr>
          <w:p>
            <w:r>
              <w:rPr>
                <w:sz w:val="14"/>
              </w:rPr>
              <w:t>Licence or configuration changes; new data categories used; sharing incident or material output error</w:t>
            </w:r>
          </w:p>
        </w:tc>
        <w:tc>
          <w:tcPr>
            <w:tcW w:type="dxa" w:w="1850"/>
          </w:tcPr>
          <w:p>
            <w:r>
              <w:rPr>
                <w:sz w:val="14"/>
              </w:rPr>
              <w:t>30 Apr 2027</w:t>
            </w:r>
          </w:p>
        </w:tc>
        <w:tc>
          <w:tcPr>
            <w:tcW w:type="dxa" w:w="1850"/>
          </w:tcPr>
          <w:p>
            <w:r>
              <w:rPr>
                <w:sz w:val="14"/>
              </w:rPr>
              <w:t>-</w:t>
            </w:r>
          </w:p>
        </w:tc>
      </w:tr>
      <w:tr>
        <w:tc>
          <w:tcPr>
            <w:tcW w:type="dxa" w:w="1850"/>
          </w:tcPr>
          <w:p>
            <w:r>
              <w:rPr>
                <w:sz w:val="14"/>
              </w:rPr>
              <w:t>AI-06</w:t>
            </w:r>
          </w:p>
        </w:tc>
        <w:tc>
          <w:tcPr>
            <w:tcW w:type="dxa" w:w="1850"/>
          </w:tcPr>
          <w:p>
            <w:r>
              <w:rPr>
                <w:sz w:val="14"/>
              </w:rPr>
              <w:t>Prompts may expose business or personal data; use is not centrally controlled; disclosures may be difficult to reverse.</w:t>
            </w:r>
          </w:p>
        </w:tc>
        <w:tc>
          <w:tcPr>
            <w:tcW w:type="dxa" w:w="1850"/>
          </w:tcPr>
          <w:p>
            <w:r>
              <w:rPr>
                <w:sz w:val="14"/>
              </w:rPr>
              <w:t>Ban customer, staff and supplier personal data in prompts; communicate restriction; review and approve an alternative tool</w:t>
            </w:r>
          </w:p>
        </w:tc>
        <w:tc>
          <w:tcPr>
            <w:tcW w:type="dxa" w:w="1850"/>
          </w:tcPr>
          <w:p>
            <w:r>
              <w:rPr>
                <w:sz w:val="14"/>
              </w:rPr>
              <w:t>MGF 2020: internal governance structures and measures; GenAI MGF 2024: data, security</w:t>
            </w:r>
          </w:p>
        </w:tc>
        <w:tc>
          <w:tcPr>
            <w:tcW w:type="dxa" w:w="1850"/>
            <w:shd w:val="clear" w:color="auto" w:fill="FBF3DF"/>
          </w:tcPr>
          <w:p>
            <w:r>
              <w:rPr>
                <w:sz w:val="14"/>
              </w:rPr>
              <w:t>Partial: use is reported, but user population, prompt history and exposure assessment are not supplied</w:t>
            </w:r>
          </w:p>
        </w:tc>
        <w:tc>
          <w:tcPr>
            <w:tcW w:type="dxa" w:w="1850"/>
          </w:tcPr>
          <w:p>
            <w:r>
              <w:rPr>
                <w:sz w:val="14"/>
              </w:rPr>
              <w:t>Personal data is found in prompts; approved-tool decision; material change in staff use</w:t>
            </w:r>
          </w:p>
        </w:tc>
        <w:tc>
          <w:tcPr>
            <w:tcW w:type="dxa" w:w="1850"/>
          </w:tcPr>
          <w:p>
            <w:r>
              <w:rPr>
                <w:sz w:val="14"/>
              </w:rPr>
              <w:t>31 Dec 2026</w:t>
            </w:r>
          </w:p>
        </w:tc>
        <w:tc>
          <w:tcPr>
            <w:tcW w:type="dxa" w:w="1850"/>
          </w:tcPr>
          <w:p>
            <w:r>
              <w:rPr>
                <w:sz w:val="14"/>
              </w:rPr>
              <w:t>-</w:t>
            </w:r>
          </w:p>
        </w:tc>
      </w:tr>
      <w:tr>
        <w:tc>
          <w:tcPr>
            <w:tcW w:type="dxa" w:w="1850"/>
          </w:tcPr>
          <w:p>
            <w:r>
              <w:rPr>
                <w:sz w:val="14"/>
              </w:rPr>
              <w:t>AI-07</w:t>
            </w:r>
          </w:p>
        </w:tc>
        <w:tc>
          <w:tcPr>
            <w:tcW w:type="dxa" w:w="1850"/>
          </w:tcPr>
          <w:p>
            <w:r>
              <w:rPr>
                <w:sz w:val="14"/>
              </w:rPr>
              <w:t>Low direct harm and no personal data intended; human review makes unsuitable images reversible before use.</w:t>
            </w:r>
          </w:p>
        </w:tc>
        <w:tc>
          <w:tcPr>
            <w:tcW w:type="dxa" w:w="1850"/>
          </w:tcPr>
          <w:p>
            <w:r>
              <w:rPr>
                <w:sz w:val="14"/>
              </w:rPr>
              <w:t>Use approved briefs and assets; check image suitability and rights; retain human publication approval</w:t>
            </w:r>
          </w:p>
        </w:tc>
        <w:tc>
          <w:tcPr>
            <w:tcW w:type="dxa" w:w="1850"/>
          </w:tcPr>
          <w:p>
            <w:r>
              <w:rPr>
                <w:sz w:val="14"/>
              </w:rPr>
              <w:t>GenAI MGF 2024: content provenance; AI Verify: accountability</w:t>
            </w:r>
          </w:p>
        </w:tc>
        <w:tc>
          <w:tcPr>
            <w:tcW w:type="dxa" w:w="1850"/>
            <w:shd w:val="clear" w:color="auto" w:fill="E8F1EC"/>
          </w:tcPr>
          <w:p>
            <w:r>
              <w:rPr>
                <w:sz w:val="14"/>
              </w:rPr>
              <w:t>Complete: tool settings, approved prompt guide and image review log provided</w:t>
            </w:r>
          </w:p>
        </w:tc>
        <w:tc>
          <w:tcPr>
            <w:tcW w:type="dxa" w:w="1850"/>
          </w:tcPr>
          <w:p>
            <w:r>
              <w:rPr>
                <w:sz w:val="14"/>
              </w:rPr>
              <w:t>Personal data or third-party likenesses proposed; tool or publication workflow changes; image complaint</w:t>
            </w:r>
          </w:p>
        </w:tc>
        <w:tc>
          <w:tcPr>
            <w:tcW w:type="dxa" w:w="1850"/>
          </w:tcPr>
          <w:p>
            <w:r>
              <w:rPr>
                <w:sz w:val="14"/>
              </w:rPr>
              <w:t>30 Apr 2027</w:t>
            </w:r>
          </w:p>
        </w:tc>
        <w:tc>
          <w:tcPr>
            <w:tcW w:type="dxa" w:w="1850"/>
          </w:tcPr>
          <w:p>
            <w:r>
              <w:rPr>
                <w:sz w:val="14"/>
              </w:rPr>
              <w:t>-</w:t>
            </w:r>
          </w:p>
        </w:tc>
      </w:tr>
      <w:tr>
        <w:tc>
          <w:tcPr>
            <w:tcW w:type="dxa" w:w="1850"/>
          </w:tcPr>
          <w:p>
            <w:r>
              <w:rPr>
                <w:sz w:val="14"/>
              </w:rPr>
              <w:t>AI-08</w:t>
            </w:r>
          </w:p>
        </w:tc>
        <w:tc>
          <w:tcPr>
            <w:tcW w:type="dxa" w:w="1850"/>
          </w:tcPr>
          <w:p>
            <w:r>
              <w:rPr>
                <w:sz w:val="14"/>
              </w:rPr>
              <w:t>Personal and confidential information may be captured; summaries can misstate decisions; review can correct errors.</w:t>
            </w:r>
          </w:p>
        </w:tc>
        <w:tc>
          <w:tcPr>
            <w:tcW w:type="dxa" w:w="1850"/>
          </w:tcPr>
          <w:p>
            <w:r>
              <w:rPr>
                <w:sz w:val="14"/>
              </w:rPr>
              <w:t>Confirm client-reported settings; notify participants and limit circulation; check and correct summaries</w:t>
            </w:r>
          </w:p>
        </w:tc>
        <w:tc>
          <w:tcPr>
            <w:tcW w:type="dxa" w:w="1850"/>
          </w:tcPr>
          <w:p>
            <w:r>
              <w:rPr>
                <w:sz w:val="14"/>
              </w:rPr>
              <w:t>MGF 2020: stakeholder interaction and communication; GenAI MGF 2024: data, security</w:t>
            </w:r>
          </w:p>
        </w:tc>
        <w:tc>
          <w:tcPr>
            <w:tcW w:type="dxa" w:w="1850"/>
            <w:shd w:val="clear" w:color="auto" w:fill="FBF3DF"/>
          </w:tcPr>
          <w:p>
            <w:r>
              <w:rPr>
                <w:sz w:val="14"/>
              </w:rPr>
              <w:t>Partial: meeting notice, settings, retention and circulation controls are not supplied</w:t>
            </w:r>
          </w:p>
        </w:tc>
        <w:tc>
          <w:tcPr>
            <w:tcW w:type="dxa" w:w="1850"/>
          </w:tcPr>
          <w:p>
            <w:r>
              <w:rPr>
                <w:sz w:val="14"/>
              </w:rPr>
              <w:t>New meeting types or external attendees; settings change; sensitive information appears in an unintended summary</w:t>
            </w:r>
          </w:p>
        </w:tc>
        <w:tc>
          <w:tcPr>
            <w:tcW w:type="dxa" w:w="1850"/>
          </w:tcPr>
          <w:p>
            <w:r>
              <w:rPr>
                <w:sz w:val="14"/>
              </w:rPr>
              <w:t>30 Apr 2027</w:t>
            </w:r>
          </w:p>
        </w:tc>
        <w:tc>
          <w:tcPr>
            <w:tcW w:type="dxa" w:w="1850"/>
          </w:tcPr>
          <w:p>
            <w:r>
              <w:rPr>
                <w:sz w:val="14"/>
              </w:rPr>
              <w:t>-</w:t>
            </w:r>
          </w:p>
        </w:tc>
      </w:tr>
      <w:tr>
        <w:tc>
          <w:tcPr>
            <w:tcW w:type="dxa" w:w="1850"/>
          </w:tcPr>
          <w:p>
            <w:r>
              <w:rPr>
                <w:sz w:val="14"/>
              </w:rPr>
              <w:t>AI-09</w:t>
            </w:r>
          </w:p>
        </w:tc>
        <w:tc>
          <w:tcPr>
            <w:tcW w:type="dxa" w:w="1850"/>
          </w:tcPr>
          <w:p>
            <w:r>
              <w:rPr>
                <w:sz w:val="14"/>
              </w:rPr>
              <w:t>Customer information may be involved; incorrect prices or terms could cause commercial harm but can be checked before sending.</w:t>
            </w:r>
          </w:p>
        </w:tc>
        <w:tc>
          <w:tcPr>
            <w:tcW w:type="dxa" w:w="1850"/>
          </w:tcPr>
          <w:p>
            <w:r>
              <w:rPr>
                <w:sz w:val="14"/>
              </w:rPr>
              <w:t>Use approved price sources; verify terms and recipient; confirm client-reported settings and access</w:t>
            </w:r>
          </w:p>
        </w:tc>
        <w:tc>
          <w:tcPr>
            <w:tcW w:type="dxa" w:w="1850"/>
          </w:tcPr>
          <w:p>
            <w:r>
              <w:rPr>
                <w:sz w:val="14"/>
              </w:rPr>
              <w:t>MGF 2020: human involvement; GenAI MGF 2024: data</w:t>
            </w:r>
          </w:p>
        </w:tc>
        <w:tc>
          <w:tcPr>
            <w:tcW w:type="dxa" w:w="1850"/>
            <w:shd w:val="clear" w:color="auto" w:fill="FBF3DF"/>
          </w:tcPr>
          <w:p>
            <w:r>
              <w:rPr>
                <w:sz w:val="14"/>
              </w:rPr>
              <w:t>Partial: quotation workflow, source controls and settings are not supplied</w:t>
            </w:r>
          </w:p>
        </w:tc>
        <w:tc>
          <w:tcPr>
            <w:tcW w:type="dxa" w:w="1850"/>
          </w:tcPr>
          <w:p>
            <w:r>
              <w:rPr>
                <w:sz w:val="14"/>
              </w:rPr>
              <w:t>Assistant gains sending or pricing authority; new customer data used; quotation error or complaint</w:t>
            </w:r>
          </w:p>
        </w:tc>
        <w:tc>
          <w:tcPr>
            <w:tcW w:type="dxa" w:w="1850"/>
          </w:tcPr>
          <w:p>
            <w:r>
              <w:rPr>
                <w:sz w:val="14"/>
              </w:rPr>
              <w:t>30 Apr 2027</w:t>
            </w:r>
          </w:p>
        </w:tc>
        <w:tc>
          <w:tcPr>
            <w:tcW w:type="dxa" w:w="1850"/>
          </w:tcPr>
          <w:p>
            <w:r>
              <w:rPr>
                <w:sz w:val="14"/>
              </w:rPr>
              <w:t>-</w:t>
            </w:r>
          </w:p>
        </w:tc>
      </w:tr>
      <w:tr>
        <w:tc>
          <w:tcPr>
            <w:tcW w:type="dxa" w:w="1850"/>
          </w:tcPr>
          <w:p>
            <w:r>
              <w:rPr>
                <w:sz w:val="14"/>
              </w:rPr>
              <w:t>AI-10</w:t>
            </w:r>
          </w:p>
        </w:tc>
        <w:tc>
          <w:tcPr>
            <w:tcW w:type="dxa" w:w="1850"/>
          </w:tcPr>
          <w:p>
            <w:r>
              <w:rPr>
                <w:sz w:val="14"/>
              </w:rPr>
              <w:t>Supplier and financial data are involved; extraction errors can affect records or payments but are reviewable.</w:t>
            </w:r>
          </w:p>
        </w:tc>
        <w:tc>
          <w:tcPr>
            <w:tcW w:type="dxa" w:w="1850"/>
          </w:tcPr>
          <w:p>
            <w:r>
              <w:rPr>
                <w:sz w:val="14"/>
              </w:rPr>
              <w:t>Confirm system permissions; reconcile key fields to invoices; retain exception and correction records</w:t>
            </w:r>
          </w:p>
        </w:tc>
        <w:tc>
          <w:tcPr>
            <w:tcW w:type="dxa" w:w="1850"/>
          </w:tcPr>
          <w:p>
            <w:r>
              <w:rPr>
                <w:sz w:val="14"/>
              </w:rPr>
              <w:t>MGF 2020: operations management; GenAI MGF 2024: data, testing and assurance</w:t>
            </w:r>
          </w:p>
        </w:tc>
        <w:tc>
          <w:tcPr>
            <w:tcW w:type="dxa" w:w="1850"/>
            <w:shd w:val="clear" w:color="auto" w:fill="E8F1EC"/>
          </w:tcPr>
          <w:p>
            <w:r>
              <w:rPr>
                <w:sz w:val="14"/>
              </w:rPr>
              <w:t>Complete: configuration export, posting permissions and monthly reconciliation provided</w:t>
            </w:r>
          </w:p>
        </w:tc>
        <w:tc>
          <w:tcPr>
            <w:tcW w:type="dxa" w:w="1850"/>
          </w:tcPr>
          <w:p>
            <w:r>
              <w:rPr>
                <w:sz w:val="14"/>
              </w:rPr>
              <w:t>Feature gains posting or payment authority; extraction errors recur; accounting workflow changes</w:t>
            </w:r>
          </w:p>
        </w:tc>
        <w:tc>
          <w:tcPr>
            <w:tcW w:type="dxa" w:w="1850"/>
          </w:tcPr>
          <w:p>
            <w:r>
              <w:rPr>
                <w:sz w:val="14"/>
              </w:rPr>
              <w:t>30 Apr 2027</w:t>
            </w:r>
          </w:p>
        </w:tc>
        <w:tc>
          <w:tcPr>
            <w:tcW w:type="dxa" w:w="1850"/>
          </w:tcPr>
          <w:p>
            <w:r>
              <w:rPr>
                <w:sz w:val="14"/>
              </w:rPr>
              <w:t>-</w:t>
            </w:r>
          </w:p>
        </w:tc>
      </w:tr>
      <w:tr>
        <w:tc>
          <w:tcPr>
            <w:tcW w:type="dxa" w:w="1850"/>
          </w:tcPr>
          <w:p>
            <w:r>
              <w:rPr>
                <w:sz w:val="14"/>
              </w:rPr>
              <w:t>AI-11</w:t>
            </w:r>
          </w:p>
        </w:tc>
        <w:tc>
          <w:tcPr>
            <w:tcW w:type="dxa" w:w="1850"/>
          </w:tcPr>
          <w:p>
            <w:r>
              <w:rPr>
                <w:sz w:val="14"/>
              </w:rPr>
              <w:t>Personal data and marketing preferences are involved; unwanted messages can affect customers; sending may be hard to reverse.</w:t>
            </w:r>
          </w:p>
        </w:tc>
        <w:tc>
          <w:tcPr>
            <w:tcW w:type="dxa" w:w="1850"/>
          </w:tcPr>
          <w:p>
            <w:r>
              <w:rPr>
                <w:sz w:val="14"/>
              </w:rPr>
              <w:t>Keep restricted pending consent check; verify audience and suppression rules; log approvals and complaints</w:t>
            </w:r>
          </w:p>
        </w:tc>
        <w:tc>
          <w:tcPr>
            <w:tcW w:type="dxa" w:w="1850"/>
          </w:tcPr>
          <w:p>
            <w:r>
              <w:rPr>
                <w:sz w:val="14"/>
              </w:rPr>
              <w:t>MGF 2020: stakeholder interaction and communication; PDPC AI Guidelines 2024: personal-data use</w:t>
            </w:r>
          </w:p>
        </w:tc>
        <w:tc>
          <w:tcPr>
            <w:tcW w:type="dxa" w:w="1850"/>
            <w:shd w:val="clear" w:color="auto" w:fill="FBF3DF"/>
          </w:tcPr>
          <w:p>
            <w:r>
              <w:rPr>
                <w:sz w:val="14"/>
              </w:rPr>
              <w:t>Partial: consent basis, audience logic and sending configuration are not supplied</w:t>
            </w:r>
          </w:p>
        </w:tc>
        <w:tc>
          <w:tcPr>
            <w:tcW w:type="dxa" w:w="1850"/>
          </w:tcPr>
          <w:p>
            <w:r>
              <w:rPr>
                <w:sz w:val="14"/>
              </w:rPr>
              <w:t>Consent check completed; audience or data use changes; any complaint or unintended message</w:t>
            </w:r>
          </w:p>
        </w:tc>
        <w:tc>
          <w:tcPr>
            <w:tcW w:type="dxa" w:w="1850"/>
          </w:tcPr>
          <w:p>
            <w:r>
              <w:rPr>
                <w:sz w:val="14"/>
              </w:rPr>
              <w:t>31 Dec 2026</w:t>
            </w:r>
          </w:p>
        </w:tc>
        <w:tc>
          <w:tcPr>
            <w:tcW w:type="dxa" w:w="1850"/>
          </w:tcPr>
          <w:p>
            <w:r>
              <w:rPr>
                <w:sz w:val="14"/>
              </w:rPr>
              <w:t>-</w:t>
            </w:r>
          </w:p>
        </w:tc>
      </w:tr>
      <w:tr>
        <w:tc>
          <w:tcPr>
            <w:tcW w:type="dxa" w:w="1850"/>
          </w:tcPr>
          <w:p>
            <w:r>
              <w:rPr>
                <w:sz w:val="14"/>
              </w:rPr>
              <w:t>AI-12</w:t>
            </w:r>
          </w:p>
        </w:tc>
        <w:tc>
          <w:tcPr>
            <w:tcW w:type="dxa" w:w="1850"/>
          </w:tcPr>
          <w:p>
            <w:r>
              <w:rPr>
                <w:sz w:val="14"/>
              </w:rPr>
              <w:t>Customers may disclose personal data; autonomous answers can mislead; incorrect advice can be difficult to undo.</w:t>
            </w:r>
          </w:p>
        </w:tc>
        <w:tc>
          <w:tcPr>
            <w:tcW w:type="dxa" w:w="1850"/>
          </w:tcPr>
          <w:p>
            <w:r>
              <w:rPr>
                <w:sz w:val="14"/>
              </w:rPr>
              <w:t>Pilot only after controls; bound topics and data access; provide human escalation and review logs</w:t>
            </w:r>
          </w:p>
        </w:tc>
        <w:tc>
          <w:tcPr>
            <w:tcW w:type="dxa" w:w="1850"/>
          </w:tcPr>
          <w:p>
            <w:r>
              <w:rPr>
                <w:sz w:val="14"/>
              </w:rPr>
              <w:t>Agentic MGF 2026: assess and bound the risks upfront; implement technical controls and processes; MGF 2020: stakeholder interaction and communication</w:t>
            </w:r>
          </w:p>
        </w:tc>
        <w:tc>
          <w:tcPr>
            <w:tcW w:type="dxa" w:w="1850"/>
            <w:shd w:val="clear" w:color="auto" w:fill="FBF3DF"/>
          </w:tcPr>
          <w:p>
            <w:r>
              <w:rPr>
                <w:sz w:val="14"/>
              </w:rPr>
              <w:t>Partial: live status is stated, but pilot design, permissions, escalation and test evidence are not supplied</w:t>
            </w:r>
          </w:p>
        </w:tc>
        <w:tc>
          <w:tcPr>
            <w:tcW w:type="dxa" w:w="1850"/>
          </w:tcPr>
          <w:p>
            <w:r>
              <w:rPr>
                <w:sz w:val="14"/>
              </w:rPr>
              <w:t>Before pilot or launch; bot gains access to order records; any harmful answer or customer complaint</w:t>
            </w:r>
          </w:p>
        </w:tc>
        <w:tc>
          <w:tcPr>
            <w:tcW w:type="dxa" w:w="1850"/>
          </w:tcPr>
          <w:p>
            <w:r>
              <w:rPr>
                <w:sz w:val="14"/>
              </w:rPr>
              <w:t>31 Dec 2026</w:t>
            </w:r>
          </w:p>
        </w:tc>
        <w:tc>
          <w:tcPr>
            <w:tcW w:type="dxa" w:w="1850"/>
          </w:tcPr>
          <w:p>
            <w:r>
              <w:rPr>
                <w:sz w:val="14"/>
              </w:rPr>
              <w:t>V-01</w:t>
            </w:r>
          </w:p>
        </w:tc>
      </w:tr>
      <w:tr>
        <w:tc>
          <w:tcPr>
            <w:tcW w:type="dxa" w:w="1850"/>
          </w:tcPr>
          <w:p>
            <w:r>
              <w:rPr>
                <w:sz w:val="14"/>
              </w:rPr>
              <w:t>AI-13</w:t>
            </w:r>
          </w:p>
        </w:tc>
        <w:tc>
          <w:tcPr>
            <w:tcW w:type="dxa" w:w="1850"/>
          </w:tcPr>
          <w:p>
            <w:r>
              <w:rPr>
                <w:sz w:val="14"/>
              </w:rPr>
              <w:t>No personal data intended; suggestions do not themselves deploy changes; code defects remain possible and can be reviewed.</w:t>
            </w:r>
          </w:p>
        </w:tc>
        <w:tc>
          <w:tcPr>
            <w:tcW w:type="dxa" w:w="1850"/>
          </w:tcPr>
          <w:p>
            <w:r>
              <w:rPr>
                <w:sz w:val="14"/>
              </w:rPr>
              <w:t>Confirm tool and repository access; prohibit personal data in prompts; require code review and deployment approval</w:t>
            </w:r>
          </w:p>
        </w:tc>
        <w:tc>
          <w:tcPr>
            <w:tcW w:type="dxa" w:w="1850"/>
          </w:tcPr>
          <w:p>
            <w:r>
              <w:rPr>
                <w:sz w:val="14"/>
              </w:rPr>
              <w:t>MGF 2020: operations management; GenAI MGF 2024: security, testing and assurance</w:t>
            </w:r>
          </w:p>
        </w:tc>
        <w:tc>
          <w:tcPr>
            <w:tcW w:type="dxa" w:w="1850"/>
            <w:shd w:val="clear" w:color="auto" w:fill="F8E5E3"/>
          </w:tcPr>
          <w:p>
            <w:r>
              <w:rPr>
                <w:sz w:val="14"/>
              </w:rPr>
              <w:t>Missing: assistant vendor, settings, repository access and code-review evidence</w:t>
            </w:r>
          </w:p>
        </w:tc>
        <w:tc>
          <w:tcPr>
            <w:tcW w:type="dxa" w:w="1850"/>
          </w:tcPr>
          <w:p>
            <w:r>
              <w:rPr>
                <w:sz w:val="14"/>
              </w:rPr>
              <w:t>Vendor or repository access identified; code is generated for sensitive workflows; defect or suspected disclosure</w:t>
            </w:r>
          </w:p>
        </w:tc>
        <w:tc>
          <w:tcPr>
            <w:tcW w:type="dxa" w:w="1850"/>
          </w:tcPr>
          <w:p>
            <w:r>
              <w:rPr>
                <w:sz w:val="14"/>
              </w:rPr>
              <w:t>31 Jan 2027</w:t>
            </w:r>
          </w:p>
        </w:tc>
        <w:tc>
          <w:tcPr>
            <w:tcW w:type="dxa" w:w="1850"/>
          </w:tcPr>
          <w:p>
            <w:r>
              <w:rPr>
                <w:sz w:val="14"/>
              </w:rPr>
              <w:t>-</w:t>
            </w:r>
          </w:p>
        </w:tc>
      </w:tr>
      <w:tr>
        <w:tc>
          <w:tcPr>
            <w:tcW w:type="dxa" w:w="1850"/>
          </w:tcPr>
          <w:p>
            <w:r>
              <w:rPr>
                <w:sz w:val="14"/>
              </w:rPr>
              <w:t>AI-14</w:t>
            </w:r>
          </w:p>
        </w:tc>
        <w:tc>
          <w:tcPr>
            <w:tcW w:type="dxa" w:w="1850"/>
          </w:tcPr>
          <w:p>
            <w:r>
              <w:rPr>
                <w:sz w:val="14"/>
              </w:rPr>
              <w:t>No personal data intended; inaccurate forecasts may cause stock or service issues; staff can adjust orders.</w:t>
            </w:r>
          </w:p>
        </w:tc>
        <w:tc>
          <w:tcPr>
            <w:tcW w:type="dxa" w:w="1850"/>
          </w:tcPr>
          <w:p>
            <w:r>
              <w:rPr>
                <w:sz w:val="14"/>
              </w:rPr>
              <w:t>Check forecast anomalies against sales and stock records; keep purchasing approval with staff; review material forecast errors</w:t>
            </w:r>
          </w:p>
        </w:tc>
        <w:tc>
          <w:tcPr>
            <w:tcW w:type="dxa" w:w="1850"/>
          </w:tcPr>
          <w:p>
            <w:r>
              <w:rPr>
                <w:sz w:val="14"/>
              </w:rPr>
              <w:t>MGF 2020: operations management; AI Verify: repeatability/reproducibility, robustness</w:t>
            </w:r>
          </w:p>
        </w:tc>
        <w:tc>
          <w:tcPr>
            <w:tcW w:type="dxa" w:w="1850"/>
            <w:shd w:val="clear" w:color="auto" w:fill="E8F1EC"/>
          </w:tcPr>
          <w:p>
            <w:r>
              <w:rPr>
                <w:sz w:val="14"/>
              </w:rPr>
              <w:t>Complete: forecast method note, override log and quarterly accuracy check provided</w:t>
            </w:r>
          </w:p>
        </w:tc>
        <w:tc>
          <w:tcPr>
            <w:tcW w:type="dxa" w:w="1850"/>
          </w:tcPr>
          <w:p>
            <w:r>
              <w:rPr>
                <w:sz w:val="14"/>
              </w:rPr>
              <w:t>Forecasting feature or inputs change; material stock discrepancy; system begins placing orders</w:t>
            </w:r>
          </w:p>
        </w:tc>
        <w:tc>
          <w:tcPr>
            <w:tcW w:type="dxa" w:w="1850"/>
          </w:tcPr>
          <w:p>
            <w:r>
              <w:rPr>
                <w:sz w:val="14"/>
              </w:rPr>
              <w:t>30 Apr 2027</w:t>
            </w:r>
          </w:p>
        </w:tc>
        <w:tc>
          <w:tcPr>
            <w:tcW w:type="dxa" w:w="1850"/>
          </w:tcPr>
          <w:p>
            <w:r>
              <w:rPr>
                <w:sz w:val="14"/>
              </w:rPr>
              <w:t>-</w:t>
            </w:r>
          </w:p>
        </w:tc>
      </w:tr>
      <w:tr>
        <w:tc>
          <w:tcPr>
            <w:tcW w:type="dxa" w:w="1850"/>
          </w:tcPr>
          <w:p>
            <w:r>
              <w:rPr>
                <w:sz w:val="14"/>
              </w:rPr>
              <w:t>AI-15</w:t>
            </w:r>
          </w:p>
        </w:tc>
        <w:tc>
          <w:tcPr>
            <w:tcW w:type="dxa" w:w="1850"/>
          </w:tcPr>
          <w:p>
            <w:r>
              <w:rPr>
                <w:sz w:val="14"/>
              </w:rPr>
              <w:t>Supplier information may be included; translation is advisory and can be checked before action.</w:t>
            </w:r>
          </w:p>
        </w:tc>
        <w:tc>
          <w:tcPr>
            <w:tcW w:type="dxa" w:w="1850"/>
          </w:tcPr>
          <w:p>
            <w:r>
              <w:rPr>
                <w:sz w:val="14"/>
              </w:rPr>
              <w:t>Confirm approved tool; avoid unnecessary personal data; verify prices, dates and commitments with a competent reviewer</w:t>
            </w:r>
          </w:p>
        </w:tc>
        <w:tc>
          <w:tcPr>
            <w:tcW w:type="dxa" w:w="1850"/>
          </w:tcPr>
          <w:p>
            <w:r>
              <w:rPr>
                <w:sz w:val="14"/>
              </w:rPr>
              <w:t>MGF 2020: human involvement; GenAI MGF 2024: data</w:t>
            </w:r>
          </w:p>
        </w:tc>
        <w:tc>
          <w:tcPr>
            <w:tcW w:type="dxa" w:w="1850"/>
            <w:shd w:val="clear" w:color="auto" w:fill="F8E5E3"/>
          </w:tcPr>
          <w:p>
            <w:r>
              <w:rPr>
                <w:sz w:val="14"/>
              </w:rPr>
              <w:t>Missing: translation tool, settings, data handling and review process are not supplied</w:t>
            </w:r>
          </w:p>
        </w:tc>
        <w:tc>
          <w:tcPr>
            <w:tcW w:type="dxa" w:w="1850"/>
          </w:tcPr>
          <w:p>
            <w:r>
              <w:rPr>
                <w:sz w:val="14"/>
              </w:rPr>
              <w:t>Tool identified or changed; personal data is translated; mistranslation affects a commercial commitment</w:t>
            </w:r>
          </w:p>
        </w:tc>
        <w:tc>
          <w:tcPr>
            <w:tcW w:type="dxa" w:w="1850"/>
          </w:tcPr>
          <w:p>
            <w:r>
              <w:rPr>
                <w:sz w:val="14"/>
              </w:rPr>
              <w:t>31 Jan 2027</w:t>
            </w:r>
          </w:p>
        </w:tc>
        <w:tc>
          <w:tcPr>
            <w:tcW w:type="dxa" w:w="1850"/>
          </w:tcPr>
          <w:p>
            <w:r>
              <w:rPr>
                <w:sz w:val="14"/>
              </w:rPr>
              <w:t>-</w:t>
            </w:r>
          </w:p>
        </w:tc>
      </w:tr>
      <w:tr>
        <w:tc>
          <w:tcPr>
            <w:tcW w:type="dxa" w:w="1850"/>
          </w:tcPr>
          <w:p>
            <w:r>
              <w:rPr>
                <w:sz w:val="14"/>
              </w:rPr>
              <w:t>AI-16</w:t>
            </w:r>
          </w:p>
        </w:tc>
        <w:tc>
          <w:tcPr>
            <w:tcW w:type="dxa" w:w="1850"/>
          </w:tcPr>
          <w:p>
            <w:r>
              <w:rPr>
                <w:sz w:val="14"/>
              </w:rPr>
              <w:t>Credit recommendations can affect customer access and involve account data; human decisions reduce but do not remove potential harm.</w:t>
            </w:r>
          </w:p>
        </w:tc>
        <w:tc>
          <w:tcPr>
            <w:tcW w:type="dxa" w:w="1850"/>
          </w:tcPr>
          <w:p>
            <w:r>
              <w:rPr>
                <w:sz w:val="14"/>
              </w:rPr>
              <w:t>Do not automate decisions; confirm recommendation inputs and explainability; record human rationale and review</w:t>
            </w:r>
          </w:p>
        </w:tc>
        <w:tc>
          <w:tcPr>
            <w:tcW w:type="dxa" w:w="1850"/>
          </w:tcPr>
          <w:p>
            <w:r>
              <w:rPr>
                <w:sz w:val="14"/>
              </w:rPr>
              <w:t>PDPC AI Guidelines 2024: personal-data use; MGF 2020: human involvement</w:t>
            </w:r>
          </w:p>
        </w:tc>
        <w:tc>
          <w:tcPr>
            <w:tcW w:type="dxa" w:w="1850"/>
            <w:shd w:val="clear" w:color="auto" w:fill="FBF3DF"/>
          </w:tcPr>
          <w:p>
            <w:r>
              <w:rPr>
                <w:sz w:val="14"/>
              </w:rPr>
              <w:t>Partial: vendor, inputs, recommendation logic and decision records are not supplied</w:t>
            </w:r>
          </w:p>
        </w:tc>
        <w:tc>
          <w:tcPr>
            <w:tcW w:type="dxa" w:w="1850"/>
          </w:tcPr>
          <w:p>
            <w:r>
              <w:rPr>
                <w:sz w:val="14"/>
              </w:rPr>
              <w:t>Any proposal for automated decisions; vendor or input changes; customer challenge or suspected adverse outcome</w:t>
            </w:r>
          </w:p>
        </w:tc>
        <w:tc>
          <w:tcPr>
            <w:tcW w:type="dxa" w:w="1850"/>
          </w:tcPr>
          <w:p>
            <w:r>
              <w:rPr>
                <w:sz w:val="14"/>
              </w:rPr>
              <w:t>31 Dec 2026</w:t>
            </w:r>
          </w:p>
        </w:tc>
        <w:tc>
          <w:tcPr>
            <w:tcW w:type="dxa" w:w="1850"/>
          </w:tcPr>
          <w:p>
            <w:r>
              <w:rPr>
                <w:sz w:val="14"/>
              </w:rPr>
              <w:t>-</w:t>
            </w:r>
          </w:p>
        </w:tc>
      </w:tr>
      <w:tr>
        <w:tc>
          <w:tcPr>
            <w:tcW w:type="dxa" w:w="1850"/>
          </w:tcPr>
          <w:p>
            <w:r>
              <w:rPr>
                <w:sz w:val="14"/>
              </w:rPr>
              <w:t>AI-17</w:t>
            </w:r>
          </w:p>
        </w:tc>
        <w:tc>
          <w:tcPr>
            <w:tcW w:type="dxa" w:w="1850"/>
          </w:tcPr>
          <w:p>
            <w:r>
              <w:rPr>
                <w:sz w:val="14"/>
              </w:rPr>
              <w:t>Customer and transaction data are involved; false flags can delay orders; review can correct decisions.</w:t>
            </w:r>
          </w:p>
        </w:tc>
        <w:tc>
          <w:tcPr>
            <w:tcW w:type="dxa" w:w="1850"/>
          </w:tcPr>
          <w:p>
            <w:r>
              <w:rPr>
                <w:sz w:val="14"/>
              </w:rPr>
              <w:t>Confirm provider actions and data inputs; review false positives and disputes; document staff decisions</w:t>
            </w:r>
          </w:p>
        </w:tc>
        <w:tc>
          <w:tcPr>
            <w:tcW w:type="dxa" w:w="1850"/>
          </w:tcPr>
          <w:p>
            <w:r>
              <w:rPr>
                <w:sz w:val="14"/>
              </w:rPr>
              <w:t>MGF 2020: human involvement; AI Verify: fairness, robustness, accountability</w:t>
            </w:r>
          </w:p>
        </w:tc>
        <w:tc>
          <w:tcPr>
            <w:tcW w:type="dxa" w:w="1850"/>
            <w:shd w:val="clear" w:color="auto" w:fill="FBF3DF"/>
          </w:tcPr>
          <w:p>
            <w:r>
              <w:rPr>
                <w:sz w:val="14"/>
              </w:rPr>
              <w:t>Partial: provider settings, flag logic, data flow and dispute records are not supplied</w:t>
            </w:r>
          </w:p>
        </w:tc>
        <w:tc>
          <w:tcPr>
            <w:tcW w:type="dxa" w:w="1850"/>
          </w:tcPr>
          <w:p>
            <w:r>
              <w:rPr>
                <w:sz w:val="14"/>
              </w:rPr>
              <w:t>Feature begins blocking orders automatically; false-flag pattern; provider or data-input change</w:t>
            </w:r>
          </w:p>
        </w:tc>
        <w:tc>
          <w:tcPr>
            <w:tcW w:type="dxa" w:w="1850"/>
          </w:tcPr>
          <w:p>
            <w:r>
              <w:rPr>
                <w:sz w:val="14"/>
              </w:rPr>
              <w:t>30 Apr 2027</w:t>
            </w:r>
          </w:p>
        </w:tc>
        <w:tc>
          <w:tcPr>
            <w:tcW w:type="dxa" w:w="1850"/>
          </w:tcPr>
          <w:p>
            <w:r>
              <w:rPr>
                <w:sz w:val="14"/>
              </w:rPr>
              <w:t>-</w:t>
            </w:r>
          </w:p>
        </w:tc>
      </w:tr>
      <w:tr>
        <w:tc>
          <w:tcPr>
            <w:tcW w:type="dxa" w:w="1850"/>
          </w:tcPr>
          <w:p>
            <w:r>
              <w:rPr>
                <w:sz w:val="14"/>
              </w:rPr>
              <w:t>AI-18</w:t>
            </w:r>
          </w:p>
        </w:tc>
        <w:tc>
          <w:tcPr>
            <w:tcW w:type="dxa" w:w="1850"/>
          </w:tcPr>
          <w:p>
            <w:r>
              <w:rPr>
                <w:sz w:val="14"/>
              </w:rPr>
              <w:t>Personal data may be involved; route suggestions are advisory; staff or partner can change a route.</w:t>
            </w:r>
          </w:p>
        </w:tc>
        <w:tc>
          <w:tcPr>
            <w:tcW w:type="dxa" w:w="1850"/>
          </w:tcPr>
          <w:p>
            <w:r>
              <w:rPr>
                <w:sz w:val="14"/>
              </w:rPr>
              <w:t>Confirm data shared with partner; restrict access to fulfilment needs; review route exceptions and complaints</w:t>
            </w:r>
          </w:p>
        </w:tc>
        <w:tc>
          <w:tcPr>
            <w:tcW w:type="dxa" w:w="1850"/>
          </w:tcPr>
          <w:p>
            <w:r>
              <w:rPr>
                <w:sz w:val="14"/>
              </w:rPr>
              <w:t>MGF 2020: operations management; AI Verify: robustness</w:t>
            </w:r>
          </w:p>
        </w:tc>
        <w:tc>
          <w:tcPr>
            <w:tcW w:type="dxa" w:w="1850"/>
            <w:shd w:val="clear" w:color="auto" w:fill="E8F1EC"/>
          </w:tcPr>
          <w:p>
            <w:r>
              <w:rPr>
                <w:sz w:val="14"/>
              </w:rPr>
              <w:t>Complete: partner data-processing terms and route data fields confirmed</w:t>
            </w:r>
          </w:p>
        </w:tc>
        <w:tc>
          <w:tcPr>
            <w:tcW w:type="dxa" w:w="1850"/>
          </w:tcPr>
          <w:p>
            <w:r>
              <w:rPr>
                <w:sz w:val="14"/>
              </w:rPr>
              <w:t>Partner system changes; data shared expands; route issue or customer complaint</w:t>
            </w:r>
          </w:p>
        </w:tc>
        <w:tc>
          <w:tcPr>
            <w:tcW w:type="dxa" w:w="1850"/>
          </w:tcPr>
          <w:p>
            <w:r>
              <w:rPr>
                <w:sz w:val="14"/>
              </w:rPr>
              <w:t>30 Apr 2027</w:t>
            </w:r>
          </w:p>
        </w:tc>
        <w:tc>
          <w:tcPr>
            <w:tcW w:type="dxa" w:w="1850"/>
          </w:tcPr>
          <w:p>
            <w:r>
              <w:rPr>
                <w:sz w:val="14"/>
              </w:rPr>
              <w:t>-</w:t>
            </w:r>
          </w:p>
        </w:tc>
      </w:tr>
      <w:tr>
        <w:tc>
          <w:tcPr>
            <w:tcW w:type="dxa" w:w="1850"/>
          </w:tcPr>
          <w:p>
            <w:r>
              <w:rPr>
                <w:sz w:val="14"/>
              </w:rPr>
              <w:t>AI-19</w:t>
            </w:r>
          </w:p>
        </w:tc>
        <w:tc>
          <w:tcPr>
            <w:tcW w:type="dxa" w:w="1850"/>
          </w:tcPr>
          <w:p>
            <w:r>
              <w:rPr>
                <w:sz w:val="14"/>
              </w:rPr>
              <w:t>HR questions may involve personal matters; inaccurate policy answers can affect staff; human escalation can correct them.</w:t>
            </w:r>
          </w:p>
        </w:tc>
        <w:tc>
          <w:tcPr>
            <w:tcW w:type="dxa" w:w="1850"/>
          </w:tcPr>
          <w:p>
            <w:r>
              <w:rPr>
                <w:sz w:val="14"/>
              </w:rPr>
              <w:t>Limit pilot scope and source material; confirm access permissions; provide HR escalation and review answer errors</w:t>
            </w:r>
          </w:p>
        </w:tc>
        <w:tc>
          <w:tcPr>
            <w:tcW w:type="dxa" w:w="1850"/>
          </w:tcPr>
          <w:p>
            <w:r>
              <w:rPr>
                <w:sz w:val="14"/>
              </w:rPr>
              <w:t>MGF 2020: human involvement; GenAI MGF 2024: data; AI Verify: transparency</w:t>
            </w:r>
          </w:p>
        </w:tc>
        <w:tc>
          <w:tcPr>
            <w:tcW w:type="dxa" w:w="1850"/>
            <w:shd w:val="clear" w:color="auto" w:fill="FBF3DF"/>
          </w:tcPr>
          <w:p>
            <w:r>
              <w:rPr>
                <w:sz w:val="14"/>
              </w:rPr>
              <w:t>Partial: pilot users, source permissions, settings and answer testing are not supplied</w:t>
            </w:r>
          </w:p>
        </w:tc>
        <w:tc>
          <w:tcPr>
            <w:tcW w:type="dxa" w:w="1850"/>
          </w:tcPr>
          <w:p>
            <w:r>
              <w:rPr>
                <w:sz w:val="14"/>
              </w:rPr>
              <w:t>Pilot expands; assistant accesses employee records; incorrect answer affects a staff decision</w:t>
            </w:r>
          </w:p>
        </w:tc>
        <w:tc>
          <w:tcPr>
            <w:tcW w:type="dxa" w:w="1850"/>
          </w:tcPr>
          <w:p>
            <w:r>
              <w:rPr>
                <w:sz w:val="14"/>
              </w:rPr>
              <w:t>31 Jan 2027</w:t>
            </w:r>
          </w:p>
        </w:tc>
        <w:tc>
          <w:tcPr>
            <w:tcW w:type="dxa" w:w="1850"/>
          </w:tcPr>
          <w:p>
            <w:r>
              <w:rPr>
                <w:sz w:val="14"/>
              </w:rPr>
              <w:t>-</w:t>
            </w:r>
          </w:p>
        </w:tc>
      </w:tr>
      <w:tr>
        <w:tc>
          <w:tcPr>
            <w:tcW w:type="dxa" w:w="1850"/>
          </w:tcPr>
          <w:p>
            <w:r>
              <w:rPr>
                <w:sz w:val="14"/>
              </w:rPr>
              <w:t>AI-20</w:t>
            </w:r>
          </w:p>
        </w:tc>
        <w:tc>
          <w:tcPr>
            <w:tcW w:type="dxa" w:w="1850"/>
          </w:tcPr>
          <w:p>
            <w:r>
              <w:rPr>
                <w:sz w:val="14"/>
              </w:rPr>
              <w:t>Personal information may appear in messages; drafts do not post themselves; review can prevent or correct errors.</w:t>
            </w:r>
          </w:p>
        </w:tc>
        <w:tc>
          <w:tcPr>
            <w:tcW w:type="dxa" w:w="1850"/>
          </w:tcPr>
          <w:p>
            <w:r>
              <w:rPr>
                <w:sz w:val="14"/>
              </w:rPr>
              <w:t>Avoid unnecessary personal data in prompts; verify facts and tone; require human approval before posting</w:t>
            </w:r>
          </w:p>
        </w:tc>
        <w:tc>
          <w:tcPr>
            <w:tcW w:type="dxa" w:w="1850"/>
          </w:tcPr>
          <w:p>
            <w:r>
              <w:rPr>
                <w:sz w:val="14"/>
              </w:rPr>
              <w:t>MGF 2020: stakeholder interaction and communication; GenAI MGF 2024: content provenance</w:t>
            </w:r>
          </w:p>
        </w:tc>
        <w:tc>
          <w:tcPr>
            <w:tcW w:type="dxa" w:w="1850"/>
            <w:shd w:val="clear" w:color="auto" w:fill="FBF3DF"/>
          </w:tcPr>
          <w:p>
            <w:r>
              <w:rPr>
                <w:sz w:val="14"/>
              </w:rPr>
              <w:t>Partial: account access, prompt handling and post-approval records are not supplied</w:t>
            </w:r>
          </w:p>
        </w:tc>
        <w:tc>
          <w:tcPr>
            <w:tcW w:type="dxa" w:w="1850"/>
          </w:tcPr>
          <w:p>
            <w:r>
              <w:rPr>
                <w:sz w:val="14"/>
              </w:rPr>
              <w:t>Tool gains posting permission; personal data used in prompts; public error or customer complaint</w:t>
            </w:r>
          </w:p>
        </w:tc>
        <w:tc>
          <w:tcPr>
            <w:tcW w:type="dxa" w:w="1850"/>
          </w:tcPr>
          <w:p>
            <w:r>
              <w:rPr>
                <w:sz w:val="14"/>
              </w:rPr>
              <w:t>30 Apr 2027</w:t>
            </w:r>
          </w:p>
        </w:tc>
        <w:tc>
          <w:tcPr>
            <w:tcW w:type="dxa" w:w="1850"/>
          </w:tcPr>
          <w:p>
            <w:r>
              <w:rPr>
                <w:sz w:val="14"/>
              </w:rPr>
              <w:t>-</w:t>
            </w:r>
          </w:p>
        </w:tc>
      </w:tr>
    </w:tbl>
    <w:p/>
    <w:p>
      <w:pPr>
        <w:pStyle w:val="Heading2"/>
      </w:pPr>
      <w:r>
        <w:t>About this sample</w:t>
      </w:r>
    </w:p>
    <w:p>
      <w:r>
        <w:rPr>
          <w:b/>
        </w:rPr>
        <w:t>Fictional organisation, illustrative only, not a client case study.</w:t>
      </w:r>
      <w:r>
        <w:rPr/>
        <w:t xml:space="preserve"> Quillmarrow Supplies Pte. Ltd., its people, vendors, findings and dates are invented. Nothing in this document reports a client result.</w:t>
      </w:r>
    </w:p>
    <w:p>
      <w:r>
        <w:rPr/>
        <w:t>I personally review and sign off every deliverable. You appoint your own DPO. I support them.</w:t>
      </w:r>
    </w:p>
    <w:p>
      <w:r>
        <w:rPr/>
        <w:t>This is practical compliance support, not legal advice. For legal advice, use a Singapore-qualified lawyer.</w:t>
      </w:r>
    </w:p>
    <w:p>
      <w:r>
        <w:rPr>
          <w:b/>
        </w:rPr>
        <w:t>What's not included</w:t>
      </w:r>
    </w:p>
    <w:p>
      <w:pPr>
        <w:pStyle w:val="ListBullet"/>
      </w:pPr>
      <w:r>
        <w:t>Legal advice, legal opinions on vendor terms or regulatory representation.</w:t>
      </w:r>
    </w:p>
    <w:p>
      <w:pPr>
        <w:pStyle w:val="ListBullet"/>
      </w:pPr>
      <w:r>
        <w:t>AI Verify technical testing, model benchmarking, penetration testing or security engineering, unless the relevant work is separately scoped.</w:t>
      </w:r>
    </w:p>
    <w:p>
      <w:pPr>
        <w:pStyle w:val="ListBullet"/>
      </w:pPr>
      <w:r>
        <w:t>Building an AI system, implementing integrations or changing live permissions and configurations.</w:t>
      </w:r>
    </w:p>
    <w:p>
      <w:pPr>
        <w:pStyle w:val="ListBullet"/>
      </w:pPr>
      <w:r>
        <w:t>Certification, a compliance guarantee or an assurance that a model cannot fail.</w:t>
      </w:r>
    </w:p>
    <w:p>
      <w:pPr>
        <w:pStyle w:val="ListBullet"/>
      </w:pPr>
      <w:r>
        <w:t>An organisation-wide ISO/IEC 42001 readiness engagement unless expressly included in the quote.</w:t>
      </w:r>
    </w:p>
    <w:p>
      <w:pPr>
        <w:pStyle w:val="ListBullet"/>
      </w:pPr>
      <w:r>
        <w:t>Healthcare-sector work or on-site delivery.</w:t>
      </w:r>
    </w:p>
    <w:p>
      <w:r>
        <w:rPr/>
        <w:t>ISO/IEC 42001 work is a readiness check only, never certification. Questions about this sample: DM @alewyl1 on X, or ask for a free intro call (coffee chat).</w:t>
      </w:r>
    </w:p>
    <w:sectPr w:rsidR="00FC693F" w:rsidRPr="0006063C" w:rsidSect="00034616">
      <w:headerReference w:type="default" r:id="rId9"/>
      <w:footerReference w:type="default" r:id="rId10"/>
      <w:pgSz w:w="16838" w:h="11906" w:orient="landscape"/>
      <w:pgMar w:top="1134"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0"/>
        <w:sz w:val="15"/>
      </w:rPr>
      <w:t xml:space="preserve">Fictional organisation, illustrative only, not a client case study · Not legal advice · Page </w:t>
    </w:r>
    <w:r>
      <w:fldChar w:fldCharType="begin"/>
    </w:r>
    <w:r>
      <w:instrText xml:space="preserve">PAGE</w:instrText>
    </w:r>
    <w:r>
      <w:fldChar w:fldCharType="end"/>
    </w:r>
    <w:r>
      <w:rPr>
        <w:sz w:val="15"/>
      </w:rPr>
      <w:t xml:space="preserve"> of </w:t>
    </w:r>
    <w:r>
      <w:fldChar w:fldCharType="begin"/>
    </w:r>
    <w:r>
      <w:instrText xml:space="preserve">NUMPAGES</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670"/>
        <w:sz w:val="15"/>
      </w:rPr>
      <w:t>Quillmarrow Supplies Pte. Ltd. (fictional) · AI governance review · A2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3A5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F3A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mbria" w:hAnsi="Cambria"/>
      <w:b/>
      <w:bCs/>
      <w:color w:val="1F3A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 AI use register</dc:title>
  <dc:subject>Fictional organisation, illustrative only, not a client case study</dc:subject>
  <dc:creator>Alex Lew</dc:creator>
  <cp:keywords>AI governance; sample; fictional</cp:keywords>
  <dc:description>Fictional organisation, illustrative only, not a client case study</dc:description>
  <cp:lastModifiedBy>Alex Lew</cp:lastModifiedBy>
  <cp:revision>1</cp:revision>
  <dcterms:created xsi:type="dcterms:W3CDTF">2026-10-30T09:00:00Z</dcterms:created>
  <dcterms:modified xsi:type="dcterms:W3CDTF">2026-10-30T09:00:00Z</dcterms:modified>
  <cp:category>Sample</cp:category>
</cp:coreProperties>
</file>