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3E5C76"/>
          <w:sz w:val="16"/>
        </w:rPr>
        <w:t>AI GOVERNANCE REVIEW PACK · A8</w:t>
      </w:r>
    </w:p>
    <w:p>
      <w:pPr>
        <w:pStyle w:val="Heading1"/>
      </w:pPr>
      <w:r>
        <w:t>Vendor and model due diligence questionnaire</w:t>
      </w:r>
    </w:p>
    <w:p>
      <w:r>
        <w:rPr>
          <w:b/>
        </w:rPr>
        <w:t xml:space="preserve">Fictional organisation, illustrative only, not a client case study. </w:t>
      </w:r>
      <w:r>
        <w:t>Quillmarrow Supplies Pte. Ltd. (fictional) is invented. All people are shown by role only.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399"/>
        <w:gridCol w:w="7399"/>
      </w:tblGrid>
      <w:tr>
        <w:trPr>
          <w:tblHeader w:val="true"/>
        </w:trPr>
        <w:tc>
          <w:tcPr>
            <w:tcW w:type="dxa" w:w="7399"/>
            <w:shd w:val="clear" w:color="auto" w:fill="E9EDF1"/>
          </w:tcPr>
          <w:p>
            <w:r>
              <w:rPr>
                <w:b/>
                <w:sz w:val="14"/>
              </w:rPr>
              <w:t>Organisation</w:t>
            </w:r>
          </w:p>
        </w:tc>
        <w:tc>
          <w:tcPr>
            <w:tcW w:type="dxa" w:w="7399"/>
          </w:tcPr>
          <w:p>
            <w:r>
              <w:rPr>
                <w:sz w:val="14"/>
              </w:rPr>
              <w:t>Quillmarrow Supplies Pte. Ltd. (fictional)</w:t>
            </w:r>
          </w:p>
        </w:tc>
      </w:tr>
      <w:tr>
        <w:tc>
          <w:tcPr>
            <w:tcW w:type="dxa" w:w="7399"/>
            <w:shd w:val="clear" w:color="auto" w:fill="E9EDF1"/>
          </w:tcPr>
          <w:p>
            <w:r>
              <w:rPr>
                <w:b/>
                <w:sz w:val="14"/>
              </w:rPr>
              <w:t>Document</w:t>
            </w:r>
          </w:p>
        </w:tc>
        <w:tc>
          <w:tcPr>
            <w:tcW w:type="dxa" w:w="7399"/>
          </w:tcPr>
          <w:p>
            <w:r>
              <w:rPr>
                <w:sz w:val="14"/>
              </w:rPr>
              <w:t>A8 · Vendor and model due diligence questionnaire</w:t>
            </w:r>
          </w:p>
        </w:tc>
      </w:tr>
      <w:tr>
        <w:tc>
          <w:tcPr>
            <w:tcW w:type="dxa" w:w="7399"/>
            <w:shd w:val="clear" w:color="auto" w:fill="E9EDF1"/>
          </w:tcPr>
          <w:p>
            <w:r>
              <w:rPr>
                <w:b/>
                <w:sz w:val="14"/>
              </w:rPr>
              <w:t>Version</w:t>
            </w:r>
          </w:p>
        </w:tc>
        <w:tc>
          <w:tcPr>
            <w:tcW w:type="dxa" w:w="7399"/>
          </w:tcPr>
          <w:p>
            <w:r>
              <w:rPr>
                <w:sz w:val="14"/>
              </w:rPr>
              <w:t>1.0</w:t>
            </w:r>
          </w:p>
        </w:tc>
      </w:tr>
      <w:tr>
        <w:tc>
          <w:tcPr>
            <w:tcW w:type="dxa" w:w="7399"/>
            <w:shd w:val="clear" w:color="auto" w:fill="E9EDF1"/>
          </w:tcPr>
          <w:p>
            <w:r>
              <w:rPr>
                <w:b/>
                <w:sz w:val="14"/>
              </w:rPr>
              <w:t>Date</w:t>
            </w:r>
          </w:p>
        </w:tc>
        <w:tc>
          <w:tcPr>
            <w:tcW w:type="dxa" w:w="7399"/>
          </w:tcPr>
          <w:p>
            <w:r>
              <w:rPr>
                <w:sz w:val="14"/>
              </w:rPr>
              <w:t>30 October 2026 (illustrative)</w:t>
            </w:r>
          </w:p>
        </w:tc>
      </w:tr>
      <w:tr>
        <w:tc>
          <w:tcPr>
            <w:tcW w:type="dxa" w:w="7399"/>
            <w:shd w:val="clear" w:color="auto" w:fill="E9EDF1"/>
          </w:tcPr>
          <w:p>
            <w:r>
              <w:rPr>
                <w:b/>
                <w:sz w:val="14"/>
              </w:rPr>
              <w:t>Prepared by</w:t>
            </w:r>
          </w:p>
        </w:tc>
        <w:tc>
          <w:tcPr>
            <w:tcW w:type="dxa" w:w="7399"/>
          </w:tcPr>
          <w:p>
            <w:r>
              <w:rPr>
                <w:sz w:val="14"/>
              </w:rPr>
              <w:t>Alex Lew, reviewer and sign-off</w:t>
            </w:r>
          </w:p>
        </w:tc>
      </w:tr>
      <w:tr>
        <w:tc>
          <w:tcPr>
            <w:tcW w:type="dxa" w:w="7399"/>
            <w:shd w:val="clear" w:color="auto" w:fill="E9EDF1"/>
          </w:tcPr>
          <w:p>
            <w:r>
              <w:rPr>
                <w:b/>
                <w:sz w:val="14"/>
              </w:rPr>
              <w:t>Client approver (role)</w:t>
            </w:r>
          </w:p>
        </w:tc>
        <w:tc>
          <w:tcPr>
            <w:tcW w:type="dxa" w:w="7399"/>
          </w:tcPr>
          <w:p>
            <w:r>
              <w:rPr>
                <w:sz w:val="14"/>
              </w:rPr>
              <w:t>Chief Operating Officer</w:t>
            </w:r>
          </w:p>
        </w:tc>
      </w:tr>
      <w:tr>
        <w:tc>
          <w:tcPr>
            <w:tcW w:type="dxa" w:w="7399"/>
            <w:shd w:val="clear" w:color="auto" w:fill="E9EDF1"/>
          </w:tcPr>
          <w:p>
            <w:r>
              <w:rPr>
                <w:b/>
                <w:sz w:val="14"/>
              </w:rPr>
              <w:t>Label</w:t>
            </w:r>
          </w:p>
        </w:tc>
        <w:tc>
          <w:tcPr>
            <w:tcW w:type="dxa" w:w="7399"/>
          </w:tcPr>
          <w:p>
            <w:r>
              <w:rPr>
                <w:sz w:val="14"/>
              </w:rPr>
              <w:t>Fictional organisation, illustrative only, not a client case study</w:t>
            </w:r>
          </w:p>
        </w:tc>
      </w:tr>
    </w:tbl>
    <w:p/>
    <w:p>
      <w:r>
        <w:rPr/>
        <w:t>Quillmarrow sent the same 30 questions to the three vendors whose AI features carry the most risk in the register: Fictional Helpdesk (V-01, helpdesk reply drafting and web-chat), Fictional Reorder Agent (V-02, the supplier reorder agent pilot) and Fictional Talent Screen (V-03, CV screening). The questions cover six areas: data use and training, data location and transfers, security and access, contract and accountability, model documentation and testing, and agent actions and logging.</w:t>
      </w:r>
    </w:p>
    <w:p>
      <w:r>
        <w:rPr/>
        <w:t>Each answer below summarises what the vendor said or supplied by the end of fieldwork. Status shows whether evidence was provided. Missing evidence stays visible: a vendor statement without a supporting document or setting is recorded as Partial, and no gap has been filled with an assumption. Nothing here is a finding about any real company or product.</w:t>
      </w:r>
    </w:p>
    <w:p>
      <w:r>
        <w:rPr/>
        <w:t>The answers were reviewed for governance purposes only. They are not a legal review of vendor terms; contract questions should be confirmed with a Singapore-qualified lawyer.</w:t>
      </w:r>
    </w:p>
    <w:p>
      <w:pPr>
        <w:pStyle w:val="Heading2"/>
      </w:pPr>
      <w:r>
        <w:t>Evidence summary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960"/>
        <w:gridCol w:w="2960"/>
        <w:gridCol w:w="2960"/>
        <w:gridCol w:w="2960"/>
        <w:gridCol w:w="2960"/>
      </w:tblGrid>
      <w:tr>
        <w:trPr>
          <w:tblHeader w:val="true"/>
        </w:trPr>
        <w:tc>
          <w:tcPr>
            <w:tcW w:type="dxa" w:w="2960"/>
            <w:shd w:val="clear" w:color="auto" w:fill="E9EDF1"/>
          </w:tcPr>
          <w:p>
            <w:r>
              <w:rPr>
                <w:b/>
                <w:sz w:val="14"/>
              </w:rPr>
              <w:t>Vendor</w:t>
            </w:r>
          </w:p>
        </w:tc>
        <w:tc>
          <w:tcPr>
            <w:tcW w:type="dxa" w:w="2960"/>
            <w:shd w:val="clear" w:color="auto" w:fill="E9EDF1"/>
          </w:tcPr>
          <w:p>
            <w:r>
              <w:rPr>
                <w:b/>
                <w:sz w:val="14"/>
              </w:rPr>
              <w:t>Evidence provided</w:t>
            </w:r>
          </w:p>
        </w:tc>
        <w:tc>
          <w:tcPr>
            <w:tcW w:type="dxa" w:w="2960"/>
            <w:shd w:val="clear" w:color="auto" w:fill="E9EDF1"/>
          </w:tcPr>
          <w:p>
            <w:r>
              <w:rPr>
                <w:b/>
                <w:sz w:val="14"/>
              </w:rPr>
              <w:t>Partial</w:t>
            </w:r>
          </w:p>
        </w:tc>
        <w:tc>
          <w:tcPr>
            <w:tcW w:type="dxa" w:w="2960"/>
            <w:shd w:val="clear" w:color="auto" w:fill="E9EDF1"/>
          </w:tcPr>
          <w:p>
            <w:r>
              <w:rPr>
                <w:b/>
                <w:sz w:val="14"/>
              </w:rPr>
              <w:t>Not provided</w:t>
            </w:r>
          </w:p>
        </w:tc>
        <w:tc>
          <w:tcPr>
            <w:tcW w:type="dxa" w:w="2960"/>
            <w:shd w:val="clear" w:color="auto" w:fill="E9EDF1"/>
          </w:tcPr>
          <w:p>
            <w:r>
              <w:rPr>
                <w:b/>
                <w:sz w:val="14"/>
              </w:rPr>
              <w:t>Not applicable</w:t>
            </w:r>
          </w:p>
        </w:tc>
      </w:tr>
      <w:tr>
        <w:tc>
          <w:tcPr>
            <w:tcW w:type="dxa" w:w="2960"/>
          </w:tcPr>
          <w:p>
            <w:r>
              <w:rPr>
                <w:sz w:val="14"/>
              </w:rPr>
              <w:t>V-01 Fictional Helpdesk</w:t>
            </w:r>
          </w:p>
        </w:tc>
        <w:tc>
          <w:tcPr>
            <w:tcW w:type="dxa" w:w="2960"/>
            <w:shd w:val="clear" w:color="auto" w:fill="E8F1EC"/>
          </w:tcPr>
          <w:p>
            <w:r>
              <w:rPr>
                <w:sz w:val="14"/>
              </w:rPr>
              <w:t>24</w:t>
            </w:r>
          </w:p>
        </w:tc>
        <w:tc>
          <w:tcPr>
            <w:tcW w:type="dxa" w:w="2960"/>
            <w:shd w:val="clear" w:color="auto" w:fill="FBF3DF"/>
          </w:tcPr>
          <w:p>
            <w:r>
              <w:rPr>
                <w:sz w:val="14"/>
              </w:rPr>
              <w:t>6</w:t>
            </w:r>
          </w:p>
        </w:tc>
        <w:tc>
          <w:tcPr>
            <w:tcW w:type="dxa" w:w="2960"/>
            <w:shd w:val="clear" w:color="auto" w:fill="F8E5E3"/>
          </w:tcPr>
          <w:p>
            <w:r>
              <w:rPr>
                <w:sz w:val="14"/>
              </w:rPr>
              <w:t>0</w:t>
            </w:r>
          </w:p>
        </w:tc>
        <w:tc>
          <w:tcPr>
            <w:tcW w:type="dxa" w:w="2960"/>
          </w:tcPr>
          <w:p>
            <w:r>
              <w:rPr>
                <w:sz w:val="14"/>
              </w:rPr>
              <w:t>0</w:t>
            </w:r>
          </w:p>
        </w:tc>
      </w:tr>
      <w:tr>
        <w:tc>
          <w:tcPr>
            <w:tcW w:type="dxa" w:w="2960"/>
          </w:tcPr>
          <w:p>
            <w:r>
              <w:rPr>
                <w:sz w:val="14"/>
              </w:rPr>
              <w:t>V-02 Fictional Reorder Agent</w:t>
            </w:r>
          </w:p>
        </w:tc>
        <w:tc>
          <w:tcPr>
            <w:tcW w:type="dxa" w:w="2960"/>
            <w:shd w:val="clear" w:color="auto" w:fill="E8F1EC"/>
          </w:tcPr>
          <w:p>
            <w:r>
              <w:rPr>
                <w:sz w:val="14"/>
              </w:rPr>
              <w:t>2</w:t>
            </w:r>
          </w:p>
        </w:tc>
        <w:tc>
          <w:tcPr>
            <w:tcW w:type="dxa" w:w="2960"/>
            <w:shd w:val="clear" w:color="auto" w:fill="FBF3DF"/>
          </w:tcPr>
          <w:p>
            <w:r>
              <w:rPr>
                <w:sz w:val="14"/>
              </w:rPr>
              <w:t>23</w:t>
            </w:r>
          </w:p>
        </w:tc>
        <w:tc>
          <w:tcPr>
            <w:tcW w:type="dxa" w:w="2960"/>
            <w:shd w:val="clear" w:color="auto" w:fill="F8E5E3"/>
          </w:tcPr>
          <w:p>
            <w:r>
              <w:rPr>
                <w:sz w:val="14"/>
              </w:rPr>
              <w:t>4</w:t>
            </w:r>
          </w:p>
        </w:tc>
        <w:tc>
          <w:tcPr>
            <w:tcW w:type="dxa" w:w="2960"/>
          </w:tcPr>
          <w:p>
            <w:r>
              <w:rPr>
                <w:sz w:val="14"/>
              </w:rPr>
              <w:t>1</w:t>
            </w:r>
          </w:p>
        </w:tc>
      </w:tr>
      <w:tr>
        <w:tc>
          <w:tcPr>
            <w:tcW w:type="dxa" w:w="2960"/>
          </w:tcPr>
          <w:p>
            <w:r>
              <w:rPr>
                <w:sz w:val="14"/>
              </w:rPr>
              <w:t>V-03 Fictional Talent Screen</w:t>
            </w:r>
          </w:p>
        </w:tc>
        <w:tc>
          <w:tcPr>
            <w:tcW w:type="dxa" w:w="2960"/>
            <w:shd w:val="clear" w:color="auto" w:fill="E8F1EC"/>
          </w:tcPr>
          <w:p>
            <w:r>
              <w:rPr>
                <w:sz w:val="14"/>
              </w:rPr>
              <w:t>0</w:t>
            </w:r>
          </w:p>
        </w:tc>
        <w:tc>
          <w:tcPr>
            <w:tcW w:type="dxa" w:w="2960"/>
            <w:shd w:val="clear" w:color="auto" w:fill="FBF3DF"/>
          </w:tcPr>
          <w:p>
            <w:r>
              <w:rPr>
                <w:sz w:val="14"/>
              </w:rPr>
              <w:t>13</w:t>
            </w:r>
          </w:p>
        </w:tc>
        <w:tc>
          <w:tcPr>
            <w:tcW w:type="dxa" w:w="2960"/>
            <w:shd w:val="clear" w:color="auto" w:fill="F8E5E3"/>
          </w:tcPr>
          <w:p>
            <w:r>
              <w:rPr>
                <w:sz w:val="14"/>
              </w:rPr>
              <w:t>15</w:t>
            </w:r>
          </w:p>
        </w:tc>
        <w:tc>
          <w:tcPr>
            <w:tcW w:type="dxa" w:w="2960"/>
          </w:tcPr>
          <w:p>
            <w:r>
              <w:rPr>
                <w:sz w:val="14"/>
              </w:rPr>
              <w:t>2</w:t>
            </w:r>
          </w:p>
        </w:tc>
      </w:tr>
    </w:tbl>
    <w:p/>
    <w:p>
      <w:pPr>
        <w:pStyle w:val="Heading2"/>
      </w:pPr>
      <w:r>
        <w:t>Data use and training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960"/>
        <w:gridCol w:w="2960"/>
        <w:gridCol w:w="2960"/>
        <w:gridCol w:w="2960"/>
        <w:gridCol w:w="2960"/>
      </w:tblGrid>
      <w:tr>
        <w:trPr>
          <w:tblHeader w:val="true"/>
        </w:trPr>
        <w:tc>
          <w:tcPr>
            <w:tcW w:type="dxa" w:w="2960"/>
            <w:shd w:val="clear" w:color="auto" w:fill="E9EDF1"/>
          </w:tcPr>
          <w:p>
            <w:r>
              <w:rPr>
                <w:b/>
                <w:sz w:val="14"/>
              </w:rPr>
              <w:t>Q</w:t>
            </w:r>
          </w:p>
        </w:tc>
        <w:tc>
          <w:tcPr>
            <w:tcW w:type="dxa" w:w="2960"/>
            <w:shd w:val="clear" w:color="auto" w:fill="E9EDF1"/>
          </w:tcPr>
          <w:p>
            <w:r>
              <w:rPr>
                <w:b/>
                <w:sz w:val="14"/>
              </w:rPr>
              <w:t>Question and evidence requested</w:t>
            </w:r>
          </w:p>
        </w:tc>
        <w:tc>
          <w:tcPr>
            <w:tcW w:type="dxa" w:w="2960"/>
            <w:shd w:val="clear" w:color="auto" w:fill="E9EDF1"/>
          </w:tcPr>
          <w:p>
            <w:r>
              <w:rPr>
                <w:b/>
                <w:sz w:val="14"/>
              </w:rPr>
              <w:t>V-01 Fictional Helpdesk</w:t>
            </w:r>
          </w:p>
        </w:tc>
        <w:tc>
          <w:tcPr>
            <w:tcW w:type="dxa" w:w="2960"/>
            <w:shd w:val="clear" w:color="auto" w:fill="E9EDF1"/>
          </w:tcPr>
          <w:p>
            <w:r>
              <w:rPr>
                <w:b/>
                <w:sz w:val="14"/>
              </w:rPr>
              <w:t>V-02 Fictional Reorder Agent</w:t>
            </w:r>
          </w:p>
        </w:tc>
        <w:tc>
          <w:tcPr>
            <w:tcW w:type="dxa" w:w="2960"/>
            <w:shd w:val="clear" w:color="auto" w:fill="E9EDF1"/>
          </w:tcPr>
          <w:p>
            <w:r>
              <w:rPr>
                <w:b/>
                <w:sz w:val="14"/>
              </w:rPr>
              <w:t>V-03 Fictional Talent Screen</w:t>
            </w:r>
          </w:p>
        </w:tc>
      </w:tr>
      <w:tr>
        <w:tc>
          <w:tcPr>
            <w:tcW w:type="dxa" w:w="2960"/>
          </w:tcPr>
          <w:p>
            <w:r>
              <w:rPr>
                <w:sz w:val="14"/>
              </w:rPr>
              <w:t>Q01</w:t>
            </w:r>
          </w:p>
        </w:tc>
        <w:tc>
          <w:tcPr>
            <w:tcW w:type="dxa" w:w="2960"/>
          </w:tcPr>
          <w:p>
            <w:r>
              <w:rPr>
                <w:b/>
                <w:sz w:val="14"/>
              </w:rPr>
              <w:t>Are customer prompts, inputs or outputs used to train or improve any model?</w:t>
            </w:r>
            <w:r>
              <w:rPr>
                <w:sz w:val="14"/>
              </w:rPr>
              <w:br/>
            </w:r>
            <w:r>
              <w:rPr>
                <w:sz w:val="14"/>
              </w:rPr>
              <w:t>Why: Training use may affect confidentiality and control over Quillmarrow data. Evidence: DPA or service schedule and the applicable tenant training setting.</w:t>
            </w:r>
          </w:p>
        </w:tc>
        <w:tc>
          <w:tcPr>
            <w:tcW w:type="dxa" w:w="2960"/>
            <w:shd w:val="clear" w:color="auto" w:fill="E8F1EC"/>
          </w:tcPr>
          <w:p>
            <w:r>
              <w:rPr>
                <w:b/>
                <w:sz w:val="14"/>
              </w:rPr>
              <w:t>Evidence provided.</w:t>
            </w:r>
            <w:r>
              <w:rPr>
                <w:sz w:val="14"/>
              </w:rPr>
              <w:t xml:space="preserve"> Says customer prompts and replies are not used for general model training. Supplied the DPA schedule and an admin-console screenshot showing the tenant setting disabled.</w:t>
            </w:r>
          </w:p>
        </w:tc>
        <w:tc>
          <w:tcPr>
            <w:tcW w:type="dxa" w:w="2960"/>
            <w:shd w:val="clear" w:color="auto" w:fill="FBF3DF"/>
          </w:tcPr>
          <w:p>
            <w:r>
              <w:rPr>
                <w:b/>
                <w:sz w:val="14"/>
              </w:rPr>
              <w:t>Partial.</w:t>
            </w:r>
            <w:r>
              <w:rPr>
                <w:sz w:val="14"/>
              </w:rPr>
              <w:t xml:space="preserve"> Says prompts are excluded from foundation-model training, but may be used to improve its agent workflow. Supplied a product FAQ, not a contract commitment or setting.</w:t>
            </w:r>
          </w:p>
        </w:tc>
        <w:tc>
          <w:tcPr>
            <w:tcW w:type="dxa" w:w="2960"/>
            <w:shd w:val="clear" w:color="auto" w:fill="F8E5E3"/>
          </w:tcPr>
          <w:p>
            <w:r>
              <w:rPr>
                <w:b/>
                <w:sz w:val="14"/>
              </w:rPr>
              <w:t>Not provided.</w:t>
            </w:r>
            <w:r>
              <w:rPr>
                <w:sz w:val="14"/>
              </w:rPr>
              <w:t xml:space="preserve"> Says data may be used to improve the service, subject to customer settings. Supplied no definition of improvement use or setting evidence.</w:t>
            </w:r>
          </w:p>
        </w:tc>
      </w:tr>
      <w:tr>
        <w:tc>
          <w:tcPr>
            <w:tcW w:type="dxa" w:w="2960"/>
          </w:tcPr>
          <w:p>
            <w:r>
              <w:rPr>
                <w:sz w:val="14"/>
              </w:rPr>
              <w:t>Q02</w:t>
            </w:r>
          </w:p>
        </w:tc>
        <w:tc>
          <w:tcPr>
            <w:tcW w:type="dxa" w:w="2960"/>
          </w:tcPr>
          <w:p>
            <w:r>
              <w:rPr>
                <w:b/>
                <w:sz w:val="14"/>
              </w:rPr>
              <w:t>What data is collected, stored and processed for the service, including prompts, outputs and metadata?</w:t>
            </w:r>
            <w:r>
              <w:rPr>
                <w:sz w:val="14"/>
              </w:rPr>
              <w:br/>
            </w:r>
            <w:r>
              <w:rPr>
                <w:sz w:val="14"/>
              </w:rPr>
              <w:t>Why: A clear data inventory supports data minimisation and impact assessment. Evidence: Data-flow diagram, data dictionary and retention settings.</w:t>
            </w:r>
          </w:p>
        </w:tc>
        <w:tc>
          <w:tcPr>
            <w:tcW w:type="dxa" w:w="2960"/>
            <w:shd w:val="clear" w:color="auto" w:fill="E8F1EC"/>
          </w:tcPr>
          <w:p>
            <w:r>
              <w:rPr>
                <w:b/>
                <w:sz w:val="14"/>
              </w:rPr>
              <w:t>Evidence provided.</w:t>
            </w:r>
            <w:r>
              <w:rPr>
                <w:sz w:val="14"/>
              </w:rPr>
              <w:t xml:space="preserve"> Says the service processes ticket text, draft replies, user IDs and usage metadata. Supplied a data-flow diagram and field inventory.</w:t>
            </w:r>
          </w:p>
        </w:tc>
        <w:tc>
          <w:tcPr>
            <w:tcW w:type="dxa" w:w="2960"/>
            <w:shd w:val="clear" w:color="auto" w:fill="FBF3DF"/>
          </w:tcPr>
          <w:p>
            <w:r>
              <w:rPr>
                <w:b/>
                <w:sz w:val="14"/>
              </w:rPr>
              <w:t>Partial.</w:t>
            </w:r>
            <w:r>
              <w:rPr>
                <w:sz w:val="14"/>
              </w:rPr>
              <w:t xml:space="preserve"> Says it processes stock, sales history, supplier and purchase-order data plus workflow logs. Supplied a field list, but it does not identify all metadata or retention by field.</w:t>
            </w:r>
          </w:p>
        </w:tc>
        <w:tc>
          <w:tcPr>
            <w:tcW w:type="dxa" w:w="2960"/>
            <w:shd w:val="clear" w:color="auto" w:fill="FBF3DF"/>
          </w:tcPr>
          <w:p>
            <w:r>
              <w:rPr>
                <w:b/>
                <w:sz w:val="14"/>
              </w:rPr>
              <w:t>Partial.</w:t>
            </w:r>
            <w:r>
              <w:rPr>
                <w:sz w:val="14"/>
              </w:rPr>
              <w:t xml:space="preserve"> Says it processes CVs and applicant details. Supplied no field-level inventory or data-flow diagram.</w:t>
            </w:r>
          </w:p>
        </w:tc>
      </w:tr>
      <w:tr>
        <w:tc>
          <w:tcPr>
            <w:tcW w:type="dxa" w:w="2960"/>
          </w:tcPr>
          <w:p>
            <w:r>
              <w:rPr>
                <w:sz w:val="14"/>
              </w:rPr>
              <w:t>Q03</w:t>
            </w:r>
          </w:p>
        </w:tc>
        <w:tc>
          <w:tcPr>
            <w:tcW w:type="dxa" w:w="2960"/>
          </w:tcPr>
          <w:p>
            <w:r>
              <w:rPr>
                <w:b/>
                <w:sz w:val="14"/>
              </w:rPr>
              <w:t>Can customers control retention, deletion and use of their data?</w:t>
            </w:r>
            <w:r>
              <w:rPr>
                <w:sz w:val="14"/>
              </w:rPr>
              <w:br/>
            </w:r>
            <w:r>
              <w:rPr>
                <w:sz w:val="14"/>
              </w:rPr>
              <w:t>Why: Quillmarrow needs workable controls over data kept by the vendor. Evidence: Retention and deletion schedule, tenant settings and deletion procedure.</w:t>
            </w:r>
          </w:p>
        </w:tc>
        <w:tc>
          <w:tcPr>
            <w:tcW w:type="dxa" w:w="2960"/>
            <w:shd w:val="clear" w:color="auto" w:fill="FBF3DF"/>
          </w:tcPr>
          <w:p>
            <w:r>
              <w:rPr>
                <w:b/>
                <w:sz w:val="14"/>
              </w:rPr>
              <w:t>Partial.</w:t>
            </w:r>
            <w:r>
              <w:rPr>
                <w:sz w:val="14"/>
              </w:rPr>
              <w:t xml:space="preserve"> Says tenant administrators can set retention and request deletion. Supplied a retention-settings guide, but no tenant-specific screenshot or deletion test.</w:t>
            </w:r>
          </w:p>
        </w:tc>
        <w:tc>
          <w:tcPr>
            <w:tcW w:type="dxa" w:w="2960"/>
            <w:shd w:val="clear" w:color="auto" w:fill="FBF3DF"/>
          </w:tcPr>
          <w:p>
            <w:r>
              <w:rPr>
                <w:b/>
                <w:sz w:val="14"/>
              </w:rPr>
              <w:t>Partial.</w:t>
            </w:r>
            <w:r>
              <w:rPr>
                <w:sz w:val="14"/>
              </w:rPr>
              <w:t xml:space="preserve"> Says data is deleted on request and inactive pilot data is periodically purged. Supplied no schedule or deletion evidence.</w:t>
            </w:r>
          </w:p>
        </w:tc>
        <w:tc>
          <w:tcPr>
            <w:tcW w:type="dxa" w:w="2960"/>
            <w:shd w:val="clear" w:color="auto" w:fill="F8E5E3"/>
          </w:tcPr>
          <w:p>
            <w:r>
              <w:rPr>
                <w:b/>
                <w:sz w:val="14"/>
              </w:rPr>
              <w:t>Not provided.</w:t>
            </w:r>
            <w:r>
              <w:rPr>
                <w:sz w:val="14"/>
              </w:rPr>
              <w:t xml:space="preserve"> Says retention depends on the customer agreement. Supplied no retention schedule, deletion procedure or setting evidence.</w:t>
            </w:r>
          </w:p>
        </w:tc>
      </w:tr>
      <w:tr>
        <w:tc>
          <w:tcPr>
            <w:tcW w:type="dxa" w:w="2960"/>
          </w:tcPr>
          <w:p>
            <w:r>
              <w:rPr>
                <w:sz w:val="14"/>
              </w:rPr>
              <w:t>Q04</w:t>
            </w:r>
          </w:p>
        </w:tc>
        <w:tc>
          <w:tcPr>
            <w:tcW w:type="dxa" w:w="2960"/>
          </w:tcPr>
          <w:p>
            <w:r>
              <w:rPr>
                <w:b/>
                <w:sz w:val="14"/>
              </w:rPr>
              <w:t>How are customer data and any derived data separated between tenants?</w:t>
            </w:r>
            <w:r>
              <w:rPr>
                <w:sz w:val="14"/>
              </w:rPr>
              <w:br/>
            </w:r>
            <w:r>
              <w:rPr>
                <w:sz w:val="14"/>
              </w:rPr>
              <w:t>Why: Tenant separation helps prevent one customer’s information reaching another. Evidence: Architecture summary and independent security assessment covering tenant isolation.</w:t>
            </w:r>
          </w:p>
        </w:tc>
        <w:tc>
          <w:tcPr>
            <w:tcW w:type="dxa" w:w="2960"/>
            <w:shd w:val="clear" w:color="auto" w:fill="E8F1EC"/>
          </w:tcPr>
          <w:p>
            <w:r>
              <w:rPr>
                <w:b/>
                <w:sz w:val="14"/>
              </w:rPr>
              <w:t>Evidence provided.</w:t>
            </w:r>
            <w:r>
              <w:rPr>
                <w:sz w:val="14"/>
              </w:rPr>
              <w:t xml:space="preserve"> Says tenant data is logically separated using tenant-specific access controls. Supplied an architecture summary and a 2026 penetration-test executive summary covering isolation testing.</w:t>
            </w:r>
          </w:p>
        </w:tc>
        <w:tc>
          <w:tcPr>
            <w:tcW w:type="dxa" w:w="2960"/>
            <w:shd w:val="clear" w:color="auto" w:fill="FBF3DF"/>
          </w:tcPr>
          <w:p>
            <w:r>
              <w:rPr>
                <w:b/>
                <w:sz w:val="14"/>
              </w:rPr>
              <w:t>Partial.</w:t>
            </w:r>
            <w:r>
              <w:rPr>
                <w:sz w:val="14"/>
              </w:rPr>
              <w:t xml:space="preserve"> Says each customer has a separate workspace and scoped credentials. Supplied an architecture note, but no independent isolation test.</w:t>
            </w:r>
          </w:p>
        </w:tc>
        <w:tc>
          <w:tcPr>
            <w:tcW w:type="dxa" w:w="2960"/>
            <w:shd w:val="clear" w:color="auto" w:fill="FBF3DF"/>
          </w:tcPr>
          <w:p>
            <w:r>
              <w:rPr>
                <w:b/>
                <w:sz w:val="14"/>
              </w:rPr>
              <w:t>Partial.</w:t>
            </w:r>
            <w:r>
              <w:rPr>
                <w:sz w:val="14"/>
              </w:rPr>
              <w:t xml:space="preserve"> Says customer workspaces are separated. Supplied a short product note without technical detail or test evidence.</w:t>
            </w:r>
          </w:p>
        </w:tc>
      </w:tr>
      <w:tr>
        <w:tc>
          <w:tcPr>
            <w:tcW w:type="dxa" w:w="2960"/>
          </w:tcPr>
          <w:p>
            <w:r>
              <w:rPr>
                <w:sz w:val="14"/>
              </w:rPr>
              <w:t>Q05</w:t>
            </w:r>
          </w:p>
        </w:tc>
        <w:tc>
          <w:tcPr>
            <w:tcW w:type="dxa" w:w="2960"/>
          </w:tcPr>
          <w:p>
            <w:r>
              <w:rPr>
                <w:b/>
                <w:sz w:val="14"/>
              </w:rPr>
              <w:t>Can Quillmarrow exclude selected data fields or redact sensitive content before processing?</w:t>
            </w:r>
            <w:r>
              <w:rPr>
                <w:sz w:val="14"/>
              </w:rPr>
              <w:br/>
            </w:r>
            <w:r>
              <w:rPr>
                <w:sz w:val="14"/>
              </w:rPr>
              <w:t>Why: Field controls can reduce unnecessary disclosure of personal or confidential data. Evidence: Configuration guide and tenant setting or demonstration record.</w:t>
            </w:r>
          </w:p>
        </w:tc>
        <w:tc>
          <w:tcPr>
            <w:tcW w:type="dxa" w:w="2960"/>
            <w:shd w:val="clear" w:color="auto" w:fill="E8F1EC"/>
          </w:tcPr>
          <w:p>
            <w:r>
              <w:rPr>
                <w:b/>
                <w:sz w:val="14"/>
              </w:rPr>
              <w:t>Evidence provided.</w:t>
            </w:r>
            <w:r>
              <w:rPr>
                <w:sz w:val="14"/>
              </w:rPr>
              <w:t xml:space="preserve"> Says administrators can configure field exclusions and redact selected identifiers before AI processing. Supplied the configuration guide and a tenant-setting screenshot.</w:t>
            </w:r>
          </w:p>
        </w:tc>
        <w:tc>
          <w:tcPr>
            <w:tcW w:type="dxa" w:w="2960"/>
            <w:shd w:val="clear" w:color="auto" w:fill="FBF3DF"/>
          </w:tcPr>
          <w:p>
            <w:r>
              <w:rPr>
                <w:b/>
                <w:sz w:val="14"/>
              </w:rPr>
              <w:t>Partial.</w:t>
            </w:r>
            <w:r>
              <w:rPr>
                <w:sz w:val="14"/>
              </w:rPr>
              <w:t xml:space="preserve"> Says source fields can be allow-listed by the implementation team. Supplied an implementation checklist, but no configuration from Quillmarrow’s tenant.</w:t>
            </w:r>
          </w:p>
        </w:tc>
        <w:tc>
          <w:tcPr>
            <w:tcW w:type="dxa" w:w="2960"/>
            <w:shd w:val="clear" w:color="auto" w:fill="F8E5E3"/>
          </w:tcPr>
          <w:p>
            <w:r>
              <w:rPr>
                <w:b/>
                <w:sz w:val="14"/>
              </w:rPr>
              <w:t>Not provided.</w:t>
            </w:r>
            <w:r>
              <w:rPr>
                <w:sz w:val="14"/>
              </w:rPr>
              <w:t xml:space="preserve"> Says customers can choose which CV fields to include. Supplied no field-selection guide or tenant setting.</w:t>
            </w:r>
          </w:p>
        </w:tc>
      </w:tr>
    </w:tbl>
    <w:p/>
    <w:p>
      <w:pPr>
        <w:pStyle w:val="Heading2"/>
      </w:pPr>
      <w:r>
        <w:t>Data location and transfers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960"/>
        <w:gridCol w:w="2960"/>
        <w:gridCol w:w="2960"/>
        <w:gridCol w:w="2960"/>
        <w:gridCol w:w="2960"/>
      </w:tblGrid>
      <w:tr>
        <w:trPr>
          <w:tblHeader w:val="true"/>
        </w:trPr>
        <w:tc>
          <w:tcPr>
            <w:tcW w:type="dxa" w:w="2960"/>
            <w:shd w:val="clear" w:color="auto" w:fill="E9EDF1"/>
          </w:tcPr>
          <w:p>
            <w:r>
              <w:rPr>
                <w:b/>
                <w:sz w:val="14"/>
              </w:rPr>
              <w:t>Q</w:t>
            </w:r>
          </w:p>
        </w:tc>
        <w:tc>
          <w:tcPr>
            <w:tcW w:type="dxa" w:w="2960"/>
            <w:shd w:val="clear" w:color="auto" w:fill="E9EDF1"/>
          </w:tcPr>
          <w:p>
            <w:r>
              <w:rPr>
                <w:b/>
                <w:sz w:val="14"/>
              </w:rPr>
              <w:t>Question and evidence requested</w:t>
            </w:r>
          </w:p>
        </w:tc>
        <w:tc>
          <w:tcPr>
            <w:tcW w:type="dxa" w:w="2960"/>
            <w:shd w:val="clear" w:color="auto" w:fill="E9EDF1"/>
          </w:tcPr>
          <w:p>
            <w:r>
              <w:rPr>
                <w:b/>
                <w:sz w:val="14"/>
              </w:rPr>
              <w:t>V-01 Fictional Helpdesk</w:t>
            </w:r>
          </w:p>
        </w:tc>
        <w:tc>
          <w:tcPr>
            <w:tcW w:type="dxa" w:w="2960"/>
            <w:shd w:val="clear" w:color="auto" w:fill="E9EDF1"/>
          </w:tcPr>
          <w:p>
            <w:r>
              <w:rPr>
                <w:b/>
                <w:sz w:val="14"/>
              </w:rPr>
              <w:t>V-02 Fictional Reorder Agent</w:t>
            </w:r>
          </w:p>
        </w:tc>
        <w:tc>
          <w:tcPr>
            <w:tcW w:type="dxa" w:w="2960"/>
            <w:shd w:val="clear" w:color="auto" w:fill="E9EDF1"/>
          </w:tcPr>
          <w:p>
            <w:r>
              <w:rPr>
                <w:b/>
                <w:sz w:val="14"/>
              </w:rPr>
              <w:t>V-03 Fictional Talent Screen</w:t>
            </w:r>
          </w:p>
        </w:tc>
      </w:tr>
      <w:tr>
        <w:tc>
          <w:tcPr>
            <w:tcW w:type="dxa" w:w="2960"/>
          </w:tcPr>
          <w:p>
            <w:r>
              <w:rPr>
                <w:sz w:val="14"/>
              </w:rPr>
              <w:t>Q06</w:t>
            </w:r>
          </w:p>
        </w:tc>
        <w:tc>
          <w:tcPr>
            <w:tcW w:type="dxa" w:w="2960"/>
          </w:tcPr>
          <w:p>
            <w:r>
              <w:rPr>
                <w:b/>
                <w:sz w:val="14"/>
              </w:rPr>
              <w:t>Where are customer data, backups and service logs stored and processed?</w:t>
            </w:r>
            <w:r>
              <w:rPr>
                <w:sz w:val="14"/>
              </w:rPr>
              <w:br/>
            </w:r>
            <w:r>
              <w:rPr>
                <w:sz w:val="14"/>
              </w:rPr>
              <w:t>Why: Locations matter to data governance, risk review and transfer assessment. Evidence: Hosting and processing-location schedule covering primary data, backups and logs.</w:t>
            </w:r>
          </w:p>
        </w:tc>
        <w:tc>
          <w:tcPr>
            <w:tcW w:type="dxa" w:w="2960"/>
            <w:shd w:val="clear" w:color="auto" w:fill="E8F1EC"/>
          </w:tcPr>
          <w:p>
            <w:r>
              <w:rPr>
                <w:b/>
                <w:sz w:val="14"/>
              </w:rPr>
              <w:t>Evidence provided.</w:t>
            </w:r>
            <w:r>
              <w:rPr>
                <w:sz w:val="14"/>
              </w:rPr>
              <w:t xml:space="preserve"> Says primary tenant data is hosted in Singapore, with backups in a named regional location. Supplied a current hosting-location schedule covering data and backups.</w:t>
            </w:r>
          </w:p>
        </w:tc>
        <w:tc>
          <w:tcPr>
            <w:tcW w:type="dxa" w:w="2960"/>
            <w:shd w:val="clear" w:color="auto" w:fill="FBF3DF"/>
          </w:tcPr>
          <w:p>
            <w:r>
              <w:rPr>
                <w:b/>
                <w:sz w:val="14"/>
              </w:rPr>
              <w:t>Partial.</w:t>
            </w:r>
            <w:r>
              <w:rPr>
                <w:sz w:val="14"/>
              </w:rPr>
              <w:t xml:space="preserve"> Says production data is hosted in Singapore and backups in another Asia-Pacific location. Supplied a cloud-region statement, but it omits support and telemetry logs.</w:t>
            </w:r>
          </w:p>
        </w:tc>
        <w:tc>
          <w:tcPr>
            <w:tcW w:type="dxa" w:w="2960"/>
            <w:shd w:val="clear" w:color="auto" w:fill="FBF3DF"/>
          </w:tcPr>
          <w:p>
            <w:r>
              <w:rPr>
                <w:b/>
                <w:sz w:val="14"/>
              </w:rPr>
              <w:t>Partial.</w:t>
            </w:r>
            <w:r>
              <w:rPr>
                <w:sz w:val="14"/>
              </w:rPr>
              <w:t xml:space="preserve"> Says data is hosted in a regional cloud environment. Supplied no country-level location or processing schedule.</w:t>
            </w:r>
          </w:p>
        </w:tc>
      </w:tr>
      <w:tr>
        <w:tc>
          <w:tcPr>
            <w:tcW w:type="dxa" w:w="2960"/>
          </w:tcPr>
          <w:p>
            <w:r>
              <w:rPr>
                <w:sz w:val="14"/>
              </w:rPr>
              <w:t>Q07</w:t>
            </w:r>
          </w:p>
        </w:tc>
        <w:tc>
          <w:tcPr>
            <w:tcW w:type="dxa" w:w="2960"/>
          </w:tcPr>
          <w:p>
            <w:r>
              <w:rPr>
                <w:b/>
                <w:sz w:val="14"/>
              </w:rPr>
              <w:t>Which subprocessors can access or process customer data, and where are they located?</w:t>
            </w:r>
            <w:r>
              <w:rPr>
                <w:sz w:val="14"/>
              </w:rPr>
              <w:br/>
            </w:r>
            <w:r>
              <w:rPr>
                <w:sz w:val="14"/>
              </w:rPr>
              <w:t>Why: Subprocessor access can create additional transfer and oversight risks. Evidence: Current subprocessor list with purposes, access types, locations and change-notice process.</w:t>
            </w:r>
          </w:p>
        </w:tc>
        <w:tc>
          <w:tcPr>
            <w:tcW w:type="dxa" w:w="2960"/>
            <w:shd w:val="clear" w:color="auto" w:fill="E8F1EC"/>
          </w:tcPr>
          <w:p>
            <w:r>
              <w:rPr>
                <w:b/>
                <w:sz w:val="14"/>
              </w:rPr>
              <w:t>Evidence provided.</w:t>
            </w:r>
            <w:r>
              <w:rPr>
                <w:sz w:val="14"/>
              </w:rPr>
              <w:t xml:space="preserve"> Says subprocessors are listed in its trust centre and customers receive advance notice of material changes. Supplied a dated list with locations and service purposes.</w:t>
            </w:r>
          </w:p>
        </w:tc>
        <w:tc>
          <w:tcPr>
            <w:tcW w:type="dxa" w:w="2960"/>
            <w:shd w:val="clear" w:color="auto" w:fill="FBF3DF"/>
          </w:tcPr>
          <w:p>
            <w:r>
              <w:rPr>
                <w:b/>
                <w:sz w:val="14"/>
              </w:rPr>
              <w:t>Partial.</w:t>
            </w:r>
            <w:r>
              <w:rPr>
                <w:sz w:val="14"/>
              </w:rPr>
              <w:t xml:space="preserve"> Says it uses a cloud-hosting provider and an email-delivery service. Supplied names but no locations, access descriptions or change-notice terms.</w:t>
            </w:r>
          </w:p>
        </w:tc>
        <w:tc>
          <w:tcPr>
            <w:tcW w:type="dxa" w:w="2960"/>
            <w:shd w:val="clear" w:color="auto" w:fill="F8E5E3"/>
          </w:tcPr>
          <w:p>
            <w:r>
              <w:rPr>
                <w:b/>
                <w:sz w:val="14"/>
              </w:rPr>
              <w:t>Not provided.</w:t>
            </w:r>
            <w:r>
              <w:rPr>
                <w:sz w:val="14"/>
              </w:rPr>
              <w:t xml:space="preserve"> Says selected infrastructure providers may support the service. Supplied no named list or locations.</w:t>
            </w:r>
          </w:p>
        </w:tc>
      </w:tr>
      <w:tr>
        <w:tc>
          <w:tcPr>
            <w:tcW w:type="dxa" w:w="2960"/>
          </w:tcPr>
          <w:p>
            <w:r>
              <w:rPr>
                <w:sz w:val="14"/>
              </w:rPr>
              <w:t>Q08</w:t>
            </w:r>
          </w:p>
        </w:tc>
        <w:tc>
          <w:tcPr>
            <w:tcW w:type="dxa" w:w="2960"/>
          </w:tcPr>
          <w:p>
            <w:r>
              <w:rPr>
                <w:b/>
                <w:sz w:val="14"/>
              </w:rPr>
              <w:t>Can vendor staff or support teams access Quillmarrow data from outside the hosting country?</w:t>
            </w:r>
            <w:r>
              <w:rPr>
                <w:sz w:val="14"/>
              </w:rPr>
              <w:br/>
            </w:r>
            <w:r>
              <w:rPr>
                <w:sz w:val="14"/>
              </w:rPr>
              <w:t>Why: Remote access can create cross-border exposure even where data is hosted locally. Evidence: Support-access policy, role permissions and access-location records.</w:t>
            </w:r>
          </w:p>
        </w:tc>
        <w:tc>
          <w:tcPr>
            <w:tcW w:type="dxa" w:w="2960"/>
            <w:shd w:val="clear" w:color="auto" w:fill="FBF3DF"/>
          </w:tcPr>
          <w:p>
            <w:r>
              <w:rPr>
                <w:b/>
                <w:sz w:val="14"/>
              </w:rPr>
              <w:t>Partial.</w:t>
            </w:r>
            <w:r>
              <w:rPr>
                <w:sz w:val="14"/>
              </w:rPr>
              <w:t xml:space="preserve"> Says support access is restricted, approved and logged, including when conducted across borders. Supplied a trust-centre support-access policy, but no customer-specific access log.</w:t>
            </w:r>
          </w:p>
        </w:tc>
        <w:tc>
          <w:tcPr>
            <w:tcW w:type="dxa" w:w="2960"/>
            <w:shd w:val="clear" w:color="auto" w:fill="FBF3DF"/>
          </w:tcPr>
          <w:p>
            <w:r>
              <w:rPr>
                <w:b/>
                <w:sz w:val="14"/>
              </w:rPr>
              <w:t>Partial.</w:t>
            </w:r>
            <w:r>
              <w:rPr>
                <w:sz w:val="14"/>
              </w:rPr>
              <w:t xml:space="preserve"> Says engineers may access logs for support after approval. Supplied no staff-location policy or access record.</w:t>
            </w:r>
          </w:p>
        </w:tc>
        <w:tc>
          <w:tcPr>
            <w:tcW w:type="dxa" w:w="2960"/>
            <w:shd w:val="clear" w:color="auto" w:fill="FBF3DF"/>
          </w:tcPr>
          <w:p>
            <w:r>
              <w:rPr>
                <w:b/>
                <w:sz w:val="14"/>
              </w:rPr>
              <w:t>Partial.</w:t>
            </w:r>
            <w:r>
              <w:rPr>
                <w:sz w:val="14"/>
              </w:rPr>
              <w:t xml:space="preserve"> Says authorised staff may provide support where needed. Supplied no access policy or location details.</w:t>
            </w:r>
          </w:p>
        </w:tc>
      </w:tr>
      <w:tr>
        <w:tc>
          <w:tcPr>
            <w:tcW w:type="dxa" w:w="2960"/>
          </w:tcPr>
          <w:p>
            <w:r>
              <w:rPr>
                <w:sz w:val="14"/>
              </w:rPr>
              <w:t>Q09</w:t>
            </w:r>
          </w:p>
        </w:tc>
        <w:tc>
          <w:tcPr>
            <w:tcW w:type="dxa" w:w="2960"/>
          </w:tcPr>
          <w:p>
            <w:r>
              <w:rPr>
                <w:b/>
                <w:sz w:val="14"/>
              </w:rPr>
              <w:t>How are cross-border transfers identified and controlled?</w:t>
            </w:r>
            <w:r>
              <w:rPr>
                <w:sz w:val="14"/>
              </w:rPr>
              <w:br/>
            </w:r>
            <w:r>
              <w:rPr>
                <w:sz w:val="14"/>
              </w:rPr>
              <w:t>Why: Quillmarrow needs visibility of transfer routes and applicable safeguards. Evidence: Transfer map and contractual or technical safeguards for each transfer route.</w:t>
            </w:r>
          </w:p>
        </w:tc>
        <w:tc>
          <w:tcPr>
            <w:tcW w:type="dxa" w:w="2960"/>
            <w:shd w:val="clear" w:color="auto" w:fill="E8F1EC"/>
          </w:tcPr>
          <w:p>
            <w:r>
              <w:rPr>
                <w:b/>
                <w:sz w:val="14"/>
              </w:rPr>
              <w:t>Evidence provided.</w:t>
            </w:r>
            <w:r>
              <w:rPr>
                <w:sz w:val="14"/>
              </w:rPr>
              <w:t xml:space="preserve"> Says transfer routes are documented and governed through its DPA and subprocessor terms. Supplied a transfer summary and the relevant DPA schedule.</w:t>
            </w:r>
          </w:p>
        </w:tc>
        <w:tc>
          <w:tcPr>
            <w:tcW w:type="dxa" w:w="2960"/>
            <w:shd w:val="clear" w:color="auto" w:fill="F8E5E3"/>
          </w:tcPr>
          <w:p>
            <w:r>
              <w:rPr>
                <w:b/>
                <w:sz w:val="14"/>
              </w:rPr>
              <w:t>Not provided.</w:t>
            </w:r>
            <w:r>
              <w:rPr>
                <w:sz w:val="14"/>
              </w:rPr>
              <w:t xml:space="preserve"> Says its hosting and support suppliers may process data in the region. Supplied no transfer map or safeguard documents.</w:t>
            </w:r>
          </w:p>
        </w:tc>
        <w:tc>
          <w:tcPr>
            <w:tcW w:type="dxa" w:w="2960"/>
            <w:shd w:val="clear" w:color="auto" w:fill="F8E5E3"/>
          </w:tcPr>
          <w:p>
            <w:r>
              <w:rPr>
                <w:b/>
                <w:sz w:val="14"/>
              </w:rPr>
              <w:t>Not provided.</w:t>
            </w:r>
            <w:r>
              <w:rPr>
                <w:sz w:val="14"/>
              </w:rPr>
              <w:t xml:space="preserve"> Says regional processing may occur depending on service configuration. Supplied no transfer map or supporting terms.</w:t>
            </w:r>
          </w:p>
        </w:tc>
      </w:tr>
      <w:tr>
        <w:tc>
          <w:tcPr>
            <w:tcW w:type="dxa" w:w="2960"/>
          </w:tcPr>
          <w:p>
            <w:r>
              <w:rPr>
                <w:sz w:val="14"/>
              </w:rPr>
              <w:t>Q10</w:t>
            </w:r>
          </w:p>
        </w:tc>
        <w:tc>
          <w:tcPr>
            <w:tcW w:type="dxa" w:w="2960"/>
          </w:tcPr>
          <w:p>
            <w:r>
              <w:rPr>
                <w:b/>
                <w:sz w:val="14"/>
              </w:rPr>
              <w:t>Are customer-specific data-location restrictions available?</w:t>
            </w:r>
            <w:r>
              <w:rPr>
                <w:sz w:val="14"/>
              </w:rPr>
              <w:br/>
            </w:r>
            <w:r>
              <w:rPr>
                <w:sz w:val="14"/>
              </w:rPr>
              <w:t>Why: A restriction may be needed to meet Quillmarrow’s approved data-handling requirements. Evidence: Product configuration guide and contractual confirmation of available location options.</w:t>
            </w:r>
          </w:p>
        </w:tc>
        <w:tc>
          <w:tcPr>
            <w:tcW w:type="dxa" w:w="2960"/>
            <w:shd w:val="clear" w:color="auto" w:fill="FBF3DF"/>
          </w:tcPr>
          <w:p>
            <w:r>
              <w:rPr>
                <w:b/>
                <w:sz w:val="14"/>
              </w:rPr>
              <w:t>Partial.</w:t>
            </w:r>
            <w:r>
              <w:rPr>
                <w:sz w:val="14"/>
              </w:rPr>
              <w:t xml:space="preserve"> Says location options depend on the service plan and tenant configuration. Supplied a general guide but no confirmation for Quillmarrow’s proposed service.</w:t>
            </w:r>
          </w:p>
        </w:tc>
        <w:tc>
          <w:tcPr>
            <w:tcW w:type="dxa" w:w="2960"/>
            <w:shd w:val="clear" w:color="auto" w:fill="FBF3DF"/>
          </w:tcPr>
          <w:p>
            <w:r>
              <w:rPr>
                <w:b/>
                <w:sz w:val="14"/>
              </w:rPr>
              <w:t>Partial.</w:t>
            </w:r>
            <w:r>
              <w:rPr>
                <w:sz w:val="14"/>
              </w:rPr>
              <w:t xml:space="preserve"> Says it can select a Singapore production region for new deployments. Supplied a deployment note, but backup location and support access remain unspecified.</w:t>
            </w:r>
          </w:p>
        </w:tc>
        <w:tc>
          <w:tcPr>
            <w:tcW w:type="dxa" w:w="2960"/>
            <w:shd w:val="clear" w:color="auto" w:fill="F8E5E3"/>
          </w:tcPr>
          <w:p>
            <w:r>
              <w:rPr>
                <w:b/>
                <w:sz w:val="14"/>
              </w:rPr>
              <w:t>Not provided.</w:t>
            </w:r>
            <w:r>
              <w:rPr>
                <w:sz w:val="14"/>
              </w:rPr>
              <w:t xml:space="preserve"> Says location is determined by the service environment. Supplied no selectable location setting or contract commitment.</w:t>
            </w:r>
          </w:p>
        </w:tc>
      </w:tr>
    </w:tbl>
    <w:p/>
    <w:p>
      <w:pPr>
        <w:pStyle w:val="Heading2"/>
      </w:pPr>
      <w:r>
        <w:t>Security and access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960"/>
        <w:gridCol w:w="2960"/>
        <w:gridCol w:w="2960"/>
        <w:gridCol w:w="2960"/>
        <w:gridCol w:w="2960"/>
      </w:tblGrid>
      <w:tr>
        <w:trPr>
          <w:tblHeader w:val="true"/>
        </w:trPr>
        <w:tc>
          <w:tcPr>
            <w:tcW w:type="dxa" w:w="2960"/>
            <w:shd w:val="clear" w:color="auto" w:fill="E9EDF1"/>
          </w:tcPr>
          <w:p>
            <w:r>
              <w:rPr>
                <w:b/>
                <w:sz w:val="14"/>
              </w:rPr>
              <w:t>Q</w:t>
            </w:r>
          </w:p>
        </w:tc>
        <w:tc>
          <w:tcPr>
            <w:tcW w:type="dxa" w:w="2960"/>
            <w:shd w:val="clear" w:color="auto" w:fill="E9EDF1"/>
          </w:tcPr>
          <w:p>
            <w:r>
              <w:rPr>
                <w:b/>
                <w:sz w:val="14"/>
              </w:rPr>
              <w:t>Question and evidence requested</w:t>
            </w:r>
          </w:p>
        </w:tc>
        <w:tc>
          <w:tcPr>
            <w:tcW w:type="dxa" w:w="2960"/>
            <w:shd w:val="clear" w:color="auto" w:fill="E9EDF1"/>
          </w:tcPr>
          <w:p>
            <w:r>
              <w:rPr>
                <w:b/>
                <w:sz w:val="14"/>
              </w:rPr>
              <w:t>V-01 Fictional Helpdesk</w:t>
            </w:r>
          </w:p>
        </w:tc>
        <w:tc>
          <w:tcPr>
            <w:tcW w:type="dxa" w:w="2960"/>
            <w:shd w:val="clear" w:color="auto" w:fill="E9EDF1"/>
          </w:tcPr>
          <w:p>
            <w:r>
              <w:rPr>
                <w:b/>
                <w:sz w:val="14"/>
              </w:rPr>
              <w:t>V-02 Fictional Reorder Agent</w:t>
            </w:r>
          </w:p>
        </w:tc>
        <w:tc>
          <w:tcPr>
            <w:tcW w:type="dxa" w:w="2960"/>
            <w:shd w:val="clear" w:color="auto" w:fill="E9EDF1"/>
          </w:tcPr>
          <w:p>
            <w:r>
              <w:rPr>
                <w:b/>
                <w:sz w:val="14"/>
              </w:rPr>
              <w:t>V-03 Fictional Talent Screen</w:t>
            </w:r>
          </w:p>
        </w:tc>
      </w:tr>
      <w:tr>
        <w:tc>
          <w:tcPr>
            <w:tcW w:type="dxa" w:w="2960"/>
          </w:tcPr>
          <w:p>
            <w:r>
              <w:rPr>
                <w:sz w:val="14"/>
              </w:rPr>
              <w:t>Q11</w:t>
            </w:r>
          </w:p>
        </w:tc>
        <w:tc>
          <w:tcPr>
            <w:tcW w:type="dxa" w:w="2960"/>
          </w:tcPr>
          <w:p>
            <w:r>
              <w:rPr>
                <w:b/>
                <w:sz w:val="14"/>
              </w:rPr>
              <w:t>What authentication and administrator-access controls are available?</w:t>
            </w:r>
            <w:r>
              <w:rPr>
                <w:sz w:val="14"/>
              </w:rPr>
              <w:br/>
            </w:r>
            <w:r>
              <w:rPr>
                <w:sz w:val="14"/>
              </w:rPr>
              <w:t>Why: Strong access controls reduce the risk of unauthorised use or disclosure. Evidence: Security policy and admin-console screenshots or configuration export.</w:t>
            </w:r>
          </w:p>
        </w:tc>
        <w:tc>
          <w:tcPr>
            <w:tcW w:type="dxa" w:w="2960"/>
            <w:shd w:val="clear" w:color="auto" w:fill="E8F1EC"/>
          </w:tcPr>
          <w:p>
            <w:r>
              <w:rPr>
                <w:b/>
                <w:sz w:val="14"/>
              </w:rPr>
              <w:t>Evidence provided.</w:t>
            </w:r>
            <w:r>
              <w:rPr>
                <w:sz w:val="14"/>
              </w:rPr>
              <w:t xml:space="preserve"> Says administrators can enforce multi-factor authentication, role-based access and session controls. Supplied a current access-control guide and sample admin screenshots.</w:t>
            </w:r>
          </w:p>
        </w:tc>
        <w:tc>
          <w:tcPr>
            <w:tcW w:type="dxa" w:w="2960"/>
            <w:shd w:val="clear" w:color="auto" w:fill="FBF3DF"/>
          </w:tcPr>
          <w:p>
            <w:r>
              <w:rPr>
                <w:b/>
                <w:sz w:val="14"/>
              </w:rPr>
              <w:t>Partial.</w:t>
            </w:r>
            <w:r>
              <w:rPr>
                <w:sz w:val="14"/>
              </w:rPr>
              <w:t xml:space="preserve"> Says administrator accounts support multi-factor authentication and role assignment. Supplied an admin guide, but no tenant configuration or access review.</w:t>
            </w:r>
          </w:p>
        </w:tc>
        <w:tc>
          <w:tcPr>
            <w:tcW w:type="dxa" w:w="2960"/>
            <w:shd w:val="clear" w:color="auto" w:fill="FBF3DF"/>
          </w:tcPr>
          <w:p>
            <w:r>
              <w:rPr>
                <w:b/>
                <w:sz w:val="14"/>
              </w:rPr>
              <w:t>Partial.</w:t>
            </w:r>
            <w:r>
              <w:rPr>
                <w:sz w:val="14"/>
              </w:rPr>
              <w:t xml:space="preserve"> Says accounts use passwords and administrator roles. Supplied no detailed access-control setting or evidence.</w:t>
            </w:r>
          </w:p>
        </w:tc>
      </w:tr>
      <w:tr>
        <w:tc>
          <w:tcPr>
            <w:tcW w:type="dxa" w:w="2960"/>
          </w:tcPr>
          <w:p>
            <w:r>
              <w:rPr>
                <w:sz w:val="14"/>
              </w:rPr>
              <w:t>Q12</w:t>
            </w:r>
          </w:p>
        </w:tc>
        <w:tc>
          <w:tcPr>
            <w:tcW w:type="dxa" w:w="2960"/>
          </w:tcPr>
          <w:p>
            <w:r>
              <w:rPr>
                <w:b/>
                <w:sz w:val="14"/>
              </w:rPr>
              <w:t>How are privileged access and vendor staff access reviewed and logged?</w:t>
            </w:r>
            <w:r>
              <w:rPr>
                <w:sz w:val="14"/>
              </w:rPr>
              <w:br/>
            </w:r>
            <w:r>
              <w:rPr>
                <w:sz w:val="14"/>
              </w:rPr>
              <w:t>Why: Review and logging make elevated access accountable and detectable. Evidence: Privileged-access procedure and a redacted access-log sample.</w:t>
            </w:r>
          </w:p>
        </w:tc>
        <w:tc>
          <w:tcPr>
            <w:tcW w:type="dxa" w:w="2960"/>
            <w:shd w:val="clear" w:color="auto" w:fill="E8F1EC"/>
          </w:tcPr>
          <w:p>
            <w:r>
              <w:rPr>
                <w:b/>
                <w:sz w:val="14"/>
              </w:rPr>
              <w:t>Evidence provided.</w:t>
            </w:r>
            <w:r>
              <w:rPr>
                <w:sz w:val="14"/>
              </w:rPr>
              <w:t xml:space="preserve"> Says privileged access is time-limited, approved and logged, with periodic review. Supplied the procedure and a redacted sample access log.</w:t>
            </w:r>
          </w:p>
        </w:tc>
        <w:tc>
          <w:tcPr>
            <w:tcW w:type="dxa" w:w="2960"/>
            <w:shd w:val="clear" w:color="auto" w:fill="F8E5E3"/>
          </w:tcPr>
          <w:p>
            <w:r>
              <w:rPr>
                <w:b/>
                <w:sz w:val="14"/>
              </w:rPr>
              <w:t>Not provided.</w:t>
            </w:r>
            <w:r>
              <w:rPr>
                <w:sz w:val="14"/>
              </w:rPr>
              <w:t xml:space="preserve"> Says founders and engineers hold administrative access. Supplied no formal review cadence or access-log sample.</w:t>
            </w:r>
          </w:p>
        </w:tc>
        <w:tc>
          <w:tcPr>
            <w:tcW w:type="dxa" w:w="2960"/>
            <w:shd w:val="clear" w:color="auto" w:fill="F8E5E3"/>
          </w:tcPr>
          <w:p>
            <w:r>
              <w:rPr>
                <w:b/>
                <w:sz w:val="14"/>
              </w:rPr>
              <w:t>Not provided.</w:t>
            </w:r>
            <w:r>
              <w:rPr>
                <w:sz w:val="14"/>
              </w:rPr>
              <w:t xml:space="preserve"> Says support staff can access accounts to resolve issues. Supplied no approval, review or logging procedure.</w:t>
            </w:r>
          </w:p>
        </w:tc>
      </w:tr>
      <w:tr>
        <w:tc>
          <w:tcPr>
            <w:tcW w:type="dxa" w:w="2960"/>
          </w:tcPr>
          <w:p>
            <w:r>
              <w:rPr>
                <w:sz w:val="14"/>
              </w:rPr>
              <w:t>Q13</w:t>
            </w:r>
          </w:p>
        </w:tc>
        <w:tc>
          <w:tcPr>
            <w:tcW w:type="dxa" w:w="2960"/>
          </w:tcPr>
          <w:p>
            <w:r>
              <w:rPr>
                <w:b/>
                <w:sz w:val="14"/>
              </w:rPr>
              <w:t>What encryption is applied to data in transit and at rest?</w:t>
            </w:r>
            <w:r>
              <w:rPr>
                <w:sz w:val="14"/>
              </w:rPr>
              <w:br/>
            </w:r>
            <w:r>
              <w:rPr>
                <w:sz w:val="14"/>
              </w:rPr>
              <w:t>Why: Encryption is a baseline safeguard for stored and transmitted data. Evidence: Security architecture summary and current encryption configuration evidence.</w:t>
            </w:r>
          </w:p>
        </w:tc>
        <w:tc>
          <w:tcPr>
            <w:tcW w:type="dxa" w:w="2960"/>
            <w:shd w:val="clear" w:color="auto" w:fill="E8F1EC"/>
          </w:tcPr>
          <w:p>
            <w:r>
              <w:rPr>
                <w:b/>
                <w:sz w:val="14"/>
              </w:rPr>
              <w:t>Evidence provided.</w:t>
            </w:r>
            <w:r>
              <w:rPr>
                <w:sz w:val="14"/>
              </w:rPr>
              <w:t xml:space="preserve"> Says data is encrypted in transit and at rest using standard managed controls. Supplied a 2026 security architecture summary describing the controls.</w:t>
            </w:r>
          </w:p>
        </w:tc>
        <w:tc>
          <w:tcPr>
            <w:tcW w:type="dxa" w:w="2960"/>
            <w:shd w:val="clear" w:color="auto" w:fill="FBF3DF"/>
          </w:tcPr>
          <w:p>
            <w:r>
              <w:rPr>
                <w:b/>
                <w:sz w:val="14"/>
              </w:rPr>
              <w:t>Partial.</w:t>
            </w:r>
            <w:r>
              <w:rPr>
                <w:sz w:val="14"/>
              </w:rPr>
              <w:t xml:space="preserve"> Says transport connections are encrypted and storage encryption is enabled by the hosting provider. Supplied a hosting configuration summary, not a full service design.</w:t>
            </w:r>
          </w:p>
        </w:tc>
        <w:tc>
          <w:tcPr>
            <w:tcW w:type="dxa" w:w="2960"/>
            <w:shd w:val="clear" w:color="auto" w:fill="FBF3DF"/>
          </w:tcPr>
          <w:p>
            <w:r>
              <w:rPr>
                <w:b/>
                <w:sz w:val="14"/>
              </w:rPr>
              <w:t>Partial.</w:t>
            </w:r>
            <w:r>
              <w:rPr>
                <w:sz w:val="14"/>
              </w:rPr>
              <w:t xml:space="preserve"> Says data is protected using encryption. Supplied no technical detail or configuration evidence.</w:t>
            </w:r>
          </w:p>
        </w:tc>
      </w:tr>
      <w:tr>
        <w:tc>
          <w:tcPr>
            <w:tcW w:type="dxa" w:w="2960"/>
          </w:tcPr>
          <w:p>
            <w:r>
              <w:rPr>
                <w:sz w:val="14"/>
              </w:rPr>
              <w:t>Q14</w:t>
            </w:r>
          </w:p>
        </w:tc>
        <w:tc>
          <w:tcPr>
            <w:tcW w:type="dxa" w:w="2960"/>
          </w:tcPr>
          <w:p>
            <w:r>
              <w:rPr>
                <w:b/>
                <w:sz w:val="14"/>
              </w:rPr>
              <w:t>Are independent security assessments performed, and how are findings handled?</w:t>
            </w:r>
            <w:r>
              <w:rPr>
                <w:sz w:val="14"/>
              </w:rPr>
              <w:br/>
            </w:r>
            <w:r>
              <w:rPr>
                <w:sz w:val="14"/>
              </w:rPr>
              <w:t>Why: Assessment evidence and remediation records help evaluate security assurance. Evidence: Recent penetration-test summary, assurance report or remediation attestation.</w:t>
            </w:r>
          </w:p>
        </w:tc>
        <w:tc>
          <w:tcPr>
            <w:tcW w:type="dxa" w:w="2960"/>
            <w:shd w:val="clear" w:color="auto" w:fill="E8F1EC"/>
          </w:tcPr>
          <w:p>
            <w:r>
              <w:rPr>
                <w:b/>
                <w:sz w:val="14"/>
              </w:rPr>
              <w:t>Evidence provided.</w:t>
            </w:r>
            <w:r>
              <w:rPr>
                <w:sz w:val="14"/>
              </w:rPr>
              <w:t xml:space="preserve"> Says it commissions annual penetration testing and tracks findings to closure. Supplied a 2026 penetration-test executive summary and remediation attestation.</w:t>
            </w:r>
          </w:p>
        </w:tc>
        <w:tc>
          <w:tcPr>
            <w:tcW w:type="dxa" w:w="2960"/>
            <w:shd w:val="clear" w:color="auto" w:fill="F8E5E3"/>
          </w:tcPr>
          <w:p>
            <w:r>
              <w:rPr>
                <w:b/>
                <w:sz w:val="14"/>
              </w:rPr>
              <w:t>Not provided.</w:t>
            </w:r>
            <w:r>
              <w:rPr>
                <w:sz w:val="14"/>
              </w:rPr>
              <w:t xml:space="preserve"> Says it completed an internal security review before launch. Supplied no independent assessment or remediation record.</w:t>
            </w:r>
          </w:p>
        </w:tc>
        <w:tc>
          <w:tcPr>
            <w:tcW w:type="dxa" w:w="2960"/>
            <w:shd w:val="clear" w:color="auto" w:fill="FBF3DF"/>
          </w:tcPr>
          <w:p>
            <w:r>
              <w:rPr>
                <w:b/>
                <w:sz w:val="14"/>
              </w:rPr>
              <w:t>Partial.</w:t>
            </w:r>
            <w:r>
              <w:rPr>
                <w:sz w:val="14"/>
              </w:rPr>
              <w:t xml:space="preserve"> Says security checks are performed as part of development. Supplied no assessment summary or remediation evidence.</w:t>
            </w:r>
          </w:p>
        </w:tc>
      </w:tr>
      <w:tr>
        <w:tc>
          <w:tcPr>
            <w:tcW w:type="dxa" w:w="2960"/>
          </w:tcPr>
          <w:p>
            <w:r>
              <w:rPr>
                <w:sz w:val="14"/>
              </w:rPr>
              <w:t>Q15</w:t>
            </w:r>
          </w:p>
        </w:tc>
        <w:tc>
          <w:tcPr>
            <w:tcW w:type="dxa" w:w="2960"/>
          </w:tcPr>
          <w:p>
            <w:r>
              <w:rPr>
                <w:b/>
                <w:sz w:val="14"/>
              </w:rPr>
              <w:t>How are security incidents detected, reported and communicated to customers?</w:t>
            </w:r>
            <w:r>
              <w:rPr>
                <w:sz w:val="14"/>
              </w:rPr>
              <w:br/>
            </w:r>
            <w:r>
              <w:rPr>
                <w:sz w:val="14"/>
              </w:rPr>
              <w:t>Why: Prompt notification supports investigation and response by the customer. Evidence: Incident-response policy and contractual notification commitment.</w:t>
            </w:r>
          </w:p>
        </w:tc>
        <w:tc>
          <w:tcPr>
            <w:tcW w:type="dxa" w:w="2960"/>
            <w:shd w:val="clear" w:color="auto" w:fill="E8F1EC"/>
          </w:tcPr>
          <w:p>
            <w:r>
              <w:rPr>
                <w:b/>
                <w:sz w:val="14"/>
              </w:rPr>
              <w:t>Evidence provided.</w:t>
            </w:r>
            <w:r>
              <w:rPr>
                <w:sz w:val="14"/>
              </w:rPr>
              <w:t xml:space="preserve"> Says it maintains an incident-response process and will notify affected customers under the DPA. Supplied the policy and DPA schedule.</w:t>
            </w:r>
          </w:p>
        </w:tc>
        <w:tc>
          <w:tcPr>
            <w:tcW w:type="dxa" w:w="2960"/>
            <w:shd w:val="clear" w:color="auto" w:fill="FBF3DF"/>
          </w:tcPr>
          <w:p>
            <w:r>
              <w:rPr>
                <w:b/>
                <w:sz w:val="14"/>
              </w:rPr>
              <w:t>Partial.</w:t>
            </w:r>
            <w:r>
              <w:rPr>
                <w:sz w:val="14"/>
              </w:rPr>
              <w:t xml:space="preserve"> Says it will contact customers if an incident affects their data. Supplied a short incident-response outline without a contractual timeframe.</w:t>
            </w:r>
          </w:p>
        </w:tc>
        <w:tc>
          <w:tcPr>
            <w:tcW w:type="dxa" w:w="2960"/>
            <w:shd w:val="clear" w:color="auto" w:fill="FBF3DF"/>
          </w:tcPr>
          <w:p>
            <w:r>
              <w:rPr>
                <w:b/>
                <w:sz w:val="14"/>
              </w:rPr>
              <w:t>Partial.</w:t>
            </w:r>
            <w:r>
              <w:rPr>
                <w:sz w:val="14"/>
              </w:rPr>
              <w:t xml:space="preserve"> Says it will notify customers of significant incidents. Supplied no definition, process or contractual timing.</w:t>
            </w:r>
          </w:p>
        </w:tc>
      </w:tr>
    </w:tbl>
    <w:p/>
    <w:p>
      <w:pPr>
        <w:pStyle w:val="Heading2"/>
      </w:pPr>
      <w:r>
        <w:t>Contract and accountability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960"/>
        <w:gridCol w:w="2960"/>
        <w:gridCol w:w="2960"/>
        <w:gridCol w:w="2960"/>
        <w:gridCol w:w="2960"/>
      </w:tblGrid>
      <w:tr>
        <w:trPr>
          <w:tblHeader w:val="true"/>
        </w:trPr>
        <w:tc>
          <w:tcPr>
            <w:tcW w:type="dxa" w:w="2960"/>
            <w:shd w:val="clear" w:color="auto" w:fill="E9EDF1"/>
          </w:tcPr>
          <w:p>
            <w:r>
              <w:rPr>
                <w:b/>
                <w:sz w:val="14"/>
              </w:rPr>
              <w:t>Q</w:t>
            </w:r>
          </w:p>
        </w:tc>
        <w:tc>
          <w:tcPr>
            <w:tcW w:type="dxa" w:w="2960"/>
            <w:shd w:val="clear" w:color="auto" w:fill="E9EDF1"/>
          </w:tcPr>
          <w:p>
            <w:r>
              <w:rPr>
                <w:b/>
                <w:sz w:val="14"/>
              </w:rPr>
              <w:t>Question and evidence requested</w:t>
            </w:r>
          </w:p>
        </w:tc>
        <w:tc>
          <w:tcPr>
            <w:tcW w:type="dxa" w:w="2960"/>
            <w:shd w:val="clear" w:color="auto" w:fill="E9EDF1"/>
          </w:tcPr>
          <w:p>
            <w:r>
              <w:rPr>
                <w:b/>
                <w:sz w:val="14"/>
              </w:rPr>
              <w:t>V-01 Fictional Helpdesk</w:t>
            </w:r>
          </w:p>
        </w:tc>
        <w:tc>
          <w:tcPr>
            <w:tcW w:type="dxa" w:w="2960"/>
            <w:shd w:val="clear" w:color="auto" w:fill="E9EDF1"/>
          </w:tcPr>
          <w:p>
            <w:r>
              <w:rPr>
                <w:b/>
                <w:sz w:val="14"/>
              </w:rPr>
              <w:t>V-02 Fictional Reorder Agent</w:t>
            </w:r>
          </w:p>
        </w:tc>
        <w:tc>
          <w:tcPr>
            <w:tcW w:type="dxa" w:w="2960"/>
            <w:shd w:val="clear" w:color="auto" w:fill="E9EDF1"/>
          </w:tcPr>
          <w:p>
            <w:r>
              <w:rPr>
                <w:b/>
                <w:sz w:val="14"/>
              </w:rPr>
              <w:t>V-03 Fictional Talent Screen</w:t>
            </w:r>
          </w:p>
        </w:tc>
      </w:tr>
      <w:tr>
        <w:tc>
          <w:tcPr>
            <w:tcW w:type="dxa" w:w="2960"/>
          </w:tcPr>
          <w:p>
            <w:r>
              <w:rPr>
                <w:sz w:val="14"/>
              </w:rPr>
              <w:t>Q16</w:t>
            </w:r>
          </w:p>
        </w:tc>
        <w:tc>
          <w:tcPr>
            <w:tcW w:type="dxa" w:w="2960"/>
          </w:tcPr>
          <w:p>
            <w:r>
              <w:rPr>
                <w:b/>
                <w:sz w:val="14"/>
              </w:rPr>
              <w:t>Will the vendor sign data-processing terms that define its role and instructions?</w:t>
            </w:r>
            <w:r>
              <w:rPr>
                <w:sz w:val="14"/>
              </w:rPr>
              <w:br/>
            </w:r>
            <w:r>
              <w:rPr>
                <w:sz w:val="14"/>
              </w:rPr>
              <w:t>Why: Written terms clarify responsibilities and permitted processing. Evidence: Proposed DPA or data-processing schedule for the service.</w:t>
            </w:r>
          </w:p>
        </w:tc>
        <w:tc>
          <w:tcPr>
            <w:tcW w:type="dxa" w:w="2960"/>
            <w:shd w:val="clear" w:color="auto" w:fill="E8F1EC"/>
          </w:tcPr>
          <w:p>
            <w:r>
              <w:rPr>
                <w:b/>
                <w:sz w:val="14"/>
              </w:rPr>
              <w:t>Evidence provided.</w:t>
            </w:r>
            <w:r>
              <w:rPr>
                <w:sz w:val="14"/>
              </w:rPr>
              <w:t xml:space="preserve"> Says it will sign its standard DPA with customer-specific service details. Supplied the current DPA and processing schedule.</w:t>
            </w:r>
          </w:p>
        </w:tc>
        <w:tc>
          <w:tcPr>
            <w:tcW w:type="dxa" w:w="2960"/>
            <w:shd w:val="clear" w:color="auto" w:fill="FBF3DF"/>
          </w:tcPr>
          <w:p>
            <w:r>
              <w:rPr>
                <w:b/>
                <w:sz w:val="14"/>
              </w:rPr>
              <w:t>Partial.</w:t>
            </w:r>
            <w:r>
              <w:rPr>
                <w:sz w:val="14"/>
              </w:rPr>
              <w:t xml:space="preserve"> Says it is preparing a DPA for enterprise customers. Supplied a draft with unresolved security and subprocessor terms.</w:t>
            </w:r>
          </w:p>
        </w:tc>
        <w:tc>
          <w:tcPr>
            <w:tcW w:type="dxa" w:w="2960"/>
            <w:shd w:val="clear" w:color="auto" w:fill="F8E5E3"/>
          </w:tcPr>
          <w:p>
            <w:r>
              <w:rPr>
                <w:b/>
                <w:sz w:val="14"/>
              </w:rPr>
              <w:t>Not provided.</w:t>
            </w:r>
            <w:r>
              <w:rPr>
                <w:sz w:val="14"/>
              </w:rPr>
              <w:t xml:space="preserve"> Says its standard terms cover service operation. Supplied no DPA or processing schedule.</w:t>
            </w:r>
          </w:p>
        </w:tc>
      </w:tr>
      <w:tr>
        <w:tc>
          <w:tcPr>
            <w:tcW w:type="dxa" w:w="2960"/>
          </w:tcPr>
          <w:p>
            <w:r>
              <w:rPr>
                <w:sz w:val="14"/>
              </w:rPr>
              <w:t>Q17</w:t>
            </w:r>
          </w:p>
        </w:tc>
        <w:tc>
          <w:tcPr>
            <w:tcW w:type="dxa" w:w="2960"/>
          </w:tcPr>
          <w:p>
            <w:r>
              <w:rPr>
                <w:b/>
                <w:sz w:val="14"/>
              </w:rPr>
              <w:t>What assistance does the vendor provide for data-subject requests, incidents and regulatory enquiries?</w:t>
            </w:r>
            <w:r>
              <w:rPr>
                <w:sz w:val="14"/>
              </w:rPr>
              <w:br/>
            </w:r>
            <w:r>
              <w:rPr>
                <w:sz w:val="14"/>
              </w:rPr>
              <w:t>Why: Quillmarrow may need vendor support to meet its own responsibilities. Evidence: Contract schedule and operational procedures for assistance and escalation.</w:t>
            </w:r>
          </w:p>
        </w:tc>
        <w:tc>
          <w:tcPr>
            <w:tcW w:type="dxa" w:w="2960"/>
            <w:shd w:val="clear" w:color="auto" w:fill="E8F1EC"/>
          </w:tcPr>
          <w:p>
            <w:r>
              <w:rPr>
                <w:b/>
                <w:sz w:val="14"/>
              </w:rPr>
              <w:t>Evidence provided.</w:t>
            </w:r>
            <w:r>
              <w:rPr>
                <w:sz w:val="14"/>
              </w:rPr>
              <w:t xml:space="preserve"> Says it routes requests and incidents to a named customer contact and provides export or deletion support. Supplied a DPA schedule and support-escalation procedure.</w:t>
            </w:r>
          </w:p>
        </w:tc>
        <w:tc>
          <w:tcPr>
            <w:tcW w:type="dxa" w:w="2960"/>
            <w:shd w:val="clear" w:color="auto" w:fill="FBF3DF"/>
          </w:tcPr>
          <w:p>
            <w:r>
              <w:rPr>
                <w:b/>
                <w:sz w:val="14"/>
              </w:rPr>
              <w:t>Partial.</w:t>
            </w:r>
            <w:r>
              <w:rPr>
                <w:sz w:val="14"/>
              </w:rPr>
              <w:t xml:space="preserve"> Says its team will help with requests and incident enquiries. Supplied no service commitment or procedure.</w:t>
            </w:r>
          </w:p>
        </w:tc>
        <w:tc>
          <w:tcPr>
            <w:tcW w:type="dxa" w:w="2960"/>
            <w:shd w:val="clear" w:color="auto" w:fill="F8E5E3"/>
          </w:tcPr>
          <w:p>
            <w:r>
              <w:rPr>
                <w:b/>
                <w:sz w:val="14"/>
              </w:rPr>
              <w:t>Not provided.</w:t>
            </w:r>
            <w:r>
              <w:rPr>
                <w:sz w:val="14"/>
              </w:rPr>
              <w:t xml:space="preserve"> Says customers should contact support for assistance. Supplied no defined response or escalation process.</w:t>
            </w:r>
          </w:p>
        </w:tc>
      </w:tr>
      <w:tr>
        <w:tc>
          <w:tcPr>
            <w:tcW w:type="dxa" w:w="2960"/>
          </w:tcPr>
          <w:p>
            <w:r>
              <w:rPr>
                <w:sz w:val="14"/>
              </w:rPr>
              <w:t>Q18</w:t>
            </w:r>
          </w:p>
        </w:tc>
        <w:tc>
          <w:tcPr>
            <w:tcW w:type="dxa" w:w="2960"/>
          </w:tcPr>
          <w:p>
            <w:r>
              <w:rPr>
                <w:b/>
                <w:sz w:val="14"/>
              </w:rPr>
              <w:t>How are service changes, subprocessors and material AI changes communicated?</w:t>
            </w:r>
            <w:r>
              <w:rPr>
                <w:sz w:val="14"/>
              </w:rPr>
              <w:br/>
            </w:r>
            <w:r>
              <w:rPr>
                <w:sz w:val="14"/>
              </w:rPr>
              <w:t>Why: Advance notice allows Quillmarrow to assess changes before relying on them. Evidence: Contract notice terms and change-management process.</w:t>
            </w:r>
          </w:p>
        </w:tc>
        <w:tc>
          <w:tcPr>
            <w:tcW w:type="dxa" w:w="2960"/>
            <w:shd w:val="clear" w:color="auto" w:fill="E8F1EC"/>
          </w:tcPr>
          <w:p>
            <w:r>
              <w:rPr>
                <w:b/>
                <w:sz w:val="14"/>
              </w:rPr>
              <w:t>Evidence provided.</w:t>
            </w:r>
            <w:r>
              <w:rPr>
                <w:sz w:val="14"/>
              </w:rPr>
              <w:t xml:space="preserve"> Says it gives advance notice of material service and subprocessor changes through its trust centre and customer notices. Supplied the change-notice policy and DPA clause.</w:t>
            </w:r>
          </w:p>
        </w:tc>
        <w:tc>
          <w:tcPr>
            <w:tcW w:type="dxa" w:w="2960"/>
            <w:shd w:val="clear" w:color="auto" w:fill="FBF3DF"/>
          </w:tcPr>
          <w:p>
            <w:r>
              <w:rPr>
                <w:b/>
                <w:sz w:val="14"/>
              </w:rPr>
              <w:t>Partial.</w:t>
            </w:r>
            <w:r>
              <w:rPr>
                <w:sz w:val="14"/>
              </w:rPr>
              <w:t xml:space="preserve"> Says it will notify customers of material changes by email. Supplied a product FAQ, but the draft contract does not include a notice period.</w:t>
            </w:r>
          </w:p>
        </w:tc>
        <w:tc>
          <w:tcPr>
            <w:tcW w:type="dxa" w:w="2960"/>
            <w:shd w:val="clear" w:color="auto" w:fill="FBF3DF"/>
          </w:tcPr>
          <w:p>
            <w:r>
              <w:rPr>
                <w:b/>
                <w:sz w:val="14"/>
              </w:rPr>
              <w:t>Partial.</w:t>
            </w:r>
            <w:r>
              <w:rPr>
                <w:sz w:val="14"/>
              </w:rPr>
              <w:t xml:space="preserve"> Says product features may change over time. Supplied no specific process for notice of material model or service changes.</w:t>
            </w:r>
          </w:p>
        </w:tc>
      </w:tr>
      <w:tr>
        <w:tc>
          <w:tcPr>
            <w:tcW w:type="dxa" w:w="2960"/>
          </w:tcPr>
          <w:p>
            <w:r>
              <w:rPr>
                <w:sz w:val="14"/>
              </w:rPr>
              <w:t>Q19</w:t>
            </w:r>
          </w:p>
        </w:tc>
        <w:tc>
          <w:tcPr>
            <w:tcW w:type="dxa" w:w="2960"/>
          </w:tcPr>
          <w:p>
            <w:r>
              <w:rPr>
                <w:b/>
                <w:sz w:val="14"/>
              </w:rPr>
              <w:t>What contractual commitments apply to confidentiality, security and data return or deletion at termination?</w:t>
            </w:r>
            <w:r>
              <w:rPr>
                <w:sz w:val="14"/>
              </w:rPr>
              <w:br/>
            </w:r>
            <w:r>
              <w:rPr>
                <w:sz w:val="14"/>
              </w:rPr>
              <w:t>Why: These commitments govern protection and exit arrangements. Evidence: Confidentiality, security and termination clauses in the proposed contract.</w:t>
            </w:r>
          </w:p>
        </w:tc>
        <w:tc>
          <w:tcPr>
            <w:tcW w:type="dxa" w:w="2960"/>
            <w:shd w:val="clear" w:color="auto" w:fill="E8F1EC"/>
          </w:tcPr>
          <w:p>
            <w:r>
              <w:rPr>
                <w:b/>
                <w:sz w:val="14"/>
              </w:rPr>
              <w:t>Evidence provided.</w:t>
            </w:r>
            <w:r>
              <w:rPr>
                <w:sz w:val="14"/>
              </w:rPr>
              <w:t xml:space="preserve"> Says its DPA and service terms cover confidentiality, security and data return or deletion at termination. Supplied the relevant clauses.</w:t>
            </w:r>
          </w:p>
        </w:tc>
        <w:tc>
          <w:tcPr>
            <w:tcW w:type="dxa" w:w="2960"/>
            <w:shd w:val="clear" w:color="auto" w:fill="FBF3DF"/>
          </w:tcPr>
          <w:p>
            <w:r>
              <w:rPr>
                <w:b/>
                <w:sz w:val="14"/>
              </w:rPr>
              <w:t>Partial.</w:t>
            </w:r>
            <w:r>
              <w:rPr>
                <w:sz w:val="14"/>
              </w:rPr>
              <w:t xml:space="preserve"> Says it will return or delete customer data when service ends. Supplied this only in an unsigned draft order form.</w:t>
            </w:r>
          </w:p>
        </w:tc>
        <w:tc>
          <w:tcPr>
            <w:tcW w:type="dxa" w:w="2960"/>
            <w:shd w:val="clear" w:color="auto" w:fill="FBF3DF"/>
          </w:tcPr>
          <w:p>
            <w:r>
              <w:rPr>
                <w:b/>
                <w:sz w:val="14"/>
              </w:rPr>
              <w:t>Partial.</w:t>
            </w:r>
            <w:r>
              <w:rPr>
                <w:sz w:val="14"/>
              </w:rPr>
              <w:t xml:space="preserve"> Says customers can close their account and request deletion. Supplied no contractual wording or deletion confirmation process.</w:t>
            </w:r>
          </w:p>
        </w:tc>
      </w:tr>
      <w:tr>
        <w:tc>
          <w:tcPr>
            <w:tcW w:type="dxa" w:w="2960"/>
          </w:tcPr>
          <w:p>
            <w:r>
              <w:rPr>
                <w:sz w:val="14"/>
              </w:rPr>
              <w:t>Q20</w:t>
            </w:r>
          </w:p>
        </w:tc>
        <w:tc>
          <w:tcPr>
            <w:tcW w:type="dxa" w:w="2960"/>
          </w:tcPr>
          <w:p>
            <w:r>
              <w:rPr>
                <w:b/>
                <w:sz w:val="14"/>
              </w:rPr>
              <w:t>Can Quillmarrow obtain assurance evidence and raise unresolved control concerns?</w:t>
            </w:r>
            <w:r>
              <w:rPr>
                <w:sz w:val="14"/>
              </w:rPr>
              <w:br/>
            </w:r>
            <w:r>
              <w:rPr>
                <w:sz w:val="14"/>
              </w:rPr>
              <w:t>Why: A defined assurance route supports ongoing vendor oversight. Evidence: Assurance pack, customer assurance process and escalation route.</w:t>
            </w:r>
          </w:p>
        </w:tc>
        <w:tc>
          <w:tcPr>
            <w:tcW w:type="dxa" w:w="2960"/>
            <w:shd w:val="clear" w:color="auto" w:fill="E8F1EC"/>
          </w:tcPr>
          <w:p>
            <w:r>
              <w:rPr>
                <w:b/>
                <w:sz w:val="14"/>
              </w:rPr>
              <w:t>Evidence provided.</w:t>
            </w:r>
            <w:r>
              <w:rPr>
                <w:sz w:val="14"/>
              </w:rPr>
              <w:t xml:space="preserve"> Says it provides a trust-centre assurance pack and a route for customer security questions. Supplied a current SOC 2 Type II bridge letter and trust-centre index.</w:t>
            </w:r>
          </w:p>
        </w:tc>
        <w:tc>
          <w:tcPr>
            <w:tcW w:type="dxa" w:w="2960"/>
            <w:shd w:val="clear" w:color="auto" w:fill="F8E5E3"/>
          </w:tcPr>
          <w:p>
            <w:r>
              <w:rPr>
                <w:b/>
                <w:sz w:val="14"/>
              </w:rPr>
              <w:t>Not provided.</w:t>
            </w:r>
            <w:r>
              <w:rPr>
                <w:sz w:val="14"/>
              </w:rPr>
              <w:t xml:space="preserve"> Says it can answer security questions during onboarding. Supplied no assurance pack or named escalation route.</w:t>
            </w:r>
          </w:p>
        </w:tc>
        <w:tc>
          <w:tcPr>
            <w:tcW w:type="dxa" w:w="2960"/>
            <w:shd w:val="clear" w:color="auto" w:fill="F8E5E3"/>
          </w:tcPr>
          <w:p>
            <w:r>
              <w:rPr>
                <w:b/>
                <w:sz w:val="14"/>
              </w:rPr>
              <w:t>Not provided.</w:t>
            </w:r>
            <w:r>
              <w:rPr>
                <w:sz w:val="14"/>
              </w:rPr>
              <w:t xml:space="preserve"> Says it can respond to customer questions on request. Supplied no assurance documents or escalation route.</w:t>
            </w:r>
          </w:p>
        </w:tc>
      </w:tr>
    </w:tbl>
    <w:p/>
    <w:p>
      <w:pPr>
        <w:pStyle w:val="Heading2"/>
      </w:pPr>
      <w:r>
        <w:t>Model documentation and testing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960"/>
        <w:gridCol w:w="2960"/>
        <w:gridCol w:w="2960"/>
        <w:gridCol w:w="2960"/>
        <w:gridCol w:w="2960"/>
      </w:tblGrid>
      <w:tr>
        <w:trPr>
          <w:tblHeader w:val="true"/>
        </w:trPr>
        <w:tc>
          <w:tcPr>
            <w:tcW w:type="dxa" w:w="2960"/>
            <w:shd w:val="clear" w:color="auto" w:fill="E9EDF1"/>
          </w:tcPr>
          <w:p>
            <w:r>
              <w:rPr>
                <w:b/>
                <w:sz w:val="14"/>
              </w:rPr>
              <w:t>Q</w:t>
            </w:r>
          </w:p>
        </w:tc>
        <w:tc>
          <w:tcPr>
            <w:tcW w:type="dxa" w:w="2960"/>
            <w:shd w:val="clear" w:color="auto" w:fill="E9EDF1"/>
          </w:tcPr>
          <w:p>
            <w:r>
              <w:rPr>
                <w:b/>
                <w:sz w:val="14"/>
              </w:rPr>
              <w:t>Question and evidence requested</w:t>
            </w:r>
          </w:p>
        </w:tc>
        <w:tc>
          <w:tcPr>
            <w:tcW w:type="dxa" w:w="2960"/>
            <w:shd w:val="clear" w:color="auto" w:fill="E9EDF1"/>
          </w:tcPr>
          <w:p>
            <w:r>
              <w:rPr>
                <w:b/>
                <w:sz w:val="14"/>
              </w:rPr>
              <w:t>V-01 Fictional Helpdesk</w:t>
            </w:r>
          </w:p>
        </w:tc>
        <w:tc>
          <w:tcPr>
            <w:tcW w:type="dxa" w:w="2960"/>
            <w:shd w:val="clear" w:color="auto" w:fill="E9EDF1"/>
          </w:tcPr>
          <w:p>
            <w:r>
              <w:rPr>
                <w:b/>
                <w:sz w:val="14"/>
              </w:rPr>
              <w:t>V-02 Fictional Reorder Agent</w:t>
            </w:r>
          </w:p>
        </w:tc>
        <w:tc>
          <w:tcPr>
            <w:tcW w:type="dxa" w:w="2960"/>
            <w:shd w:val="clear" w:color="auto" w:fill="E9EDF1"/>
          </w:tcPr>
          <w:p>
            <w:r>
              <w:rPr>
                <w:b/>
                <w:sz w:val="14"/>
              </w:rPr>
              <w:t>V-03 Fictional Talent Screen</w:t>
            </w:r>
          </w:p>
        </w:tc>
      </w:tr>
      <w:tr>
        <w:tc>
          <w:tcPr>
            <w:tcW w:type="dxa" w:w="2960"/>
          </w:tcPr>
          <w:p>
            <w:r>
              <w:rPr>
                <w:sz w:val="14"/>
              </w:rPr>
              <w:t>Q21</w:t>
            </w:r>
          </w:p>
        </w:tc>
        <w:tc>
          <w:tcPr>
            <w:tcW w:type="dxa" w:w="2960"/>
          </w:tcPr>
          <w:p>
            <w:r>
              <w:rPr>
                <w:b/>
                <w:sz w:val="14"/>
              </w:rPr>
              <w:t>What does the system do, what are its intended uses and what uses are out of scope?</w:t>
            </w:r>
            <w:r>
              <w:rPr>
                <w:sz w:val="14"/>
              </w:rPr>
              <w:br/>
            </w:r>
            <w:r>
              <w:rPr>
                <w:sz w:val="14"/>
              </w:rPr>
              <w:t>Why: Clear boundaries help prevent use beyond the service’s evaluated purpose. Evidence: Product description, intended-use statement and limitation documentation.</w:t>
            </w:r>
          </w:p>
        </w:tc>
        <w:tc>
          <w:tcPr>
            <w:tcW w:type="dxa" w:w="2960"/>
            <w:shd w:val="clear" w:color="auto" w:fill="E8F1EC"/>
          </w:tcPr>
          <w:p>
            <w:r>
              <w:rPr>
                <w:b/>
                <w:sz w:val="14"/>
              </w:rPr>
              <w:t>Evidence provided.</w:t>
            </w:r>
            <w:r>
              <w:rPr>
                <w:sz w:val="14"/>
              </w:rPr>
              <w:t xml:space="preserve"> Says reply drafting supports agent-reviewed replies and the web-chat component is a separate configurable feature. Supplied product cards describing intended uses and limitations.</w:t>
            </w:r>
          </w:p>
        </w:tc>
        <w:tc>
          <w:tcPr>
            <w:tcW w:type="dxa" w:w="2960"/>
            <w:shd w:val="clear" w:color="auto" w:fill="FBF3DF"/>
          </w:tcPr>
          <w:p>
            <w:r>
              <w:rPr>
                <w:b/>
                <w:sz w:val="14"/>
              </w:rPr>
              <w:t>Partial.</w:t>
            </w:r>
            <w:r>
              <w:rPr>
                <w:sz w:val="14"/>
              </w:rPr>
              <w:t xml:space="preserve"> Says the agent proposes replenishment orders from inventory signals. Supplied a workflow description, but it does not fully specify out-of-scope actions.</w:t>
            </w:r>
          </w:p>
        </w:tc>
        <w:tc>
          <w:tcPr>
            <w:tcW w:type="dxa" w:w="2960"/>
            <w:shd w:val="clear" w:color="auto" w:fill="F8E5E3"/>
          </w:tcPr>
          <w:p>
            <w:r>
              <w:rPr>
                <w:b/>
                <w:sz w:val="14"/>
              </w:rPr>
              <w:t>Not provided.</w:t>
            </w:r>
            <w:r>
              <w:rPr>
                <w:sz w:val="14"/>
              </w:rPr>
              <w:t xml:space="preserve"> Says the service parses CVs and ranks applicants against employer criteria. Supplied no detailed intended-use or limitations document.</w:t>
            </w:r>
          </w:p>
        </w:tc>
      </w:tr>
      <w:tr>
        <w:tc>
          <w:tcPr>
            <w:tcW w:type="dxa" w:w="2960"/>
          </w:tcPr>
          <w:p>
            <w:r>
              <w:rPr>
                <w:sz w:val="14"/>
              </w:rPr>
              <w:t>Q22</w:t>
            </w:r>
          </w:p>
        </w:tc>
        <w:tc>
          <w:tcPr>
            <w:tcW w:type="dxa" w:w="2960"/>
          </w:tcPr>
          <w:p>
            <w:r>
              <w:rPr>
                <w:b/>
                <w:sz w:val="14"/>
              </w:rPr>
              <w:t>What information is available about model or system versions and material updates?</w:t>
            </w:r>
            <w:r>
              <w:rPr>
                <w:sz w:val="14"/>
              </w:rPr>
              <w:br/>
            </w:r>
            <w:r>
              <w:rPr>
                <w:sz w:val="14"/>
              </w:rPr>
              <w:t>Why: Version information helps investigate changes in behaviour and assess updates. Evidence: Version policy, release notes and customer change notifications.</w:t>
            </w:r>
          </w:p>
        </w:tc>
        <w:tc>
          <w:tcPr>
            <w:tcW w:type="dxa" w:w="2960"/>
            <w:shd w:val="clear" w:color="auto" w:fill="E8F1EC"/>
          </w:tcPr>
          <w:p>
            <w:r>
              <w:rPr>
                <w:b/>
                <w:sz w:val="14"/>
              </w:rPr>
              <w:t>Evidence provided.</w:t>
            </w:r>
            <w:r>
              <w:rPr>
                <w:sz w:val="14"/>
              </w:rPr>
              <w:t xml:space="preserve"> Says model and service changes are tracked and material changes are announced. Supplied a release-history page and change-notice policy.</w:t>
            </w:r>
          </w:p>
        </w:tc>
        <w:tc>
          <w:tcPr>
            <w:tcW w:type="dxa" w:w="2960"/>
            <w:shd w:val="clear" w:color="auto" w:fill="FBF3DF"/>
          </w:tcPr>
          <w:p>
            <w:r>
              <w:rPr>
                <w:b/>
                <w:sz w:val="14"/>
              </w:rPr>
              <w:t>Partial.</w:t>
            </w:r>
            <w:r>
              <w:rPr>
                <w:sz w:val="14"/>
              </w:rPr>
              <w:t xml:space="preserve"> Says it records agent workflow releases and can provide release notes. Supplied a version register, but model-version reporting depends on its upstream provider.</w:t>
            </w:r>
          </w:p>
        </w:tc>
        <w:tc>
          <w:tcPr>
            <w:tcW w:type="dxa" w:w="2960"/>
            <w:shd w:val="clear" w:color="auto" w:fill="F8E5E3"/>
          </w:tcPr>
          <w:p>
            <w:r>
              <w:rPr>
                <w:b/>
                <w:sz w:val="14"/>
              </w:rPr>
              <w:t>Not provided.</w:t>
            </w:r>
            <w:r>
              <w:rPr>
                <w:sz w:val="14"/>
              </w:rPr>
              <w:t xml:space="preserve"> Says the service is updated periodically. Supplied no version register or release history.</w:t>
            </w:r>
          </w:p>
        </w:tc>
      </w:tr>
      <w:tr>
        <w:tc>
          <w:tcPr>
            <w:tcW w:type="dxa" w:w="2960"/>
          </w:tcPr>
          <w:p>
            <w:r>
              <w:rPr>
                <w:sz w:val="14"/>
              </w:rPr>
              <w:t>Q23</w:t>
            </w:r>
          </w:p>
        </w:tc>
        <w:tc>
          <w:tcPr>
            <w:tcW w:type="dxa" w:w="2960"/>
          </w:tcPr>
          <w:p>
            <w:r>
              <w:rPr>
                <w:b/>
                <w:sz w:val="14"/>
              </w:rPr>
              <w:t>What testing has been performed for accuracy, reliability and foreseeable failure cases?</w:t>
            </w:r>
            <w:r>
              <w:rPr>
                <w:sz w:val="14"/>
              </w:rPr>
              <w:br/>
            </w:r>
            <w:r>
              <w:rPr>
                <w:sz w:val="14"/>
              </w:rPr>
              <w:t>Why: Testing evidence helps identify limitations before the service is used. Evidence: Test plan, results, known limitations and remediation records.</w:t>
            </w:r>
          </w:p>
        </w:tc>
        <w:tc>
          <w:tcPr>
            <w:tcW w:type="dxa" w:w="2960"/>
            <w:shd w:val="clear" w:color="auto" w:fill="FBF3DF"/>
          </w:tcPr>
          <w:p>
            <w:r>
              <w:rPr>
                <w:b/>
                <w:sz w:val="14"/>
              </w:rPr>
              <w:t>Partial.</w:t>
            </w:r>
            <w:r>
              <w:rPr>
                <w:sz w:val="14"/>
              </w:rPr>
              <w:t xml:space="preserve"> Says it tests reply-drafting quality and service reliability before releases. Supplied a 2026 testing overview, but not task-specific results for Quillmarrow’s proposed configuration.</w:t>
            </w:r>
          </w:p>
        </w:tc>
        <w:tc>
          <w:tcPr>
            <w:tcW w:type="dxa" w:w="2960"/>
            <w:shd w:val="clear" w:color="auto" w:fill="FBF3DF"/>
          </w:tcPr>
          <w:p>
            <w:r>
              <w:rPr>
                <w:b/>
                <w:sz w:val="14"/>
              </w:rPr>
              <w:t>Partial.</w:t>
            </w:r>
            <w:r>
              <w:rPr>
                <w:sz w:val="14"/>
              </w:rPr>
              <w:t xml:space="preserve"> Says it has tested common reorder workflows and failure handling. Supplied a short internal checklist without results or independent review.</w:t>
            </w:r>
          </w:p>
        </w:tc>
        <w:tc>
          <w:tcPr>
            <w:tcW w:type="dxa" w:w="2960"/>
            <w:shd w:val="clear" w:color="auto" w:fill="FBF3DF"/>
          </w:tcPr>
          <w:p>
            <w:r>
              <w:rPr>
                <w:b/>
                <w:sz w:val="14"/>
              </w:rPr>
              <w:t>Partial.</w:t>
            </w:r>
            <w:r>
              <w:rPr>
                <w:sz w:val="14"/>
              </w:rPr>
              <w:t xml:space="preserve"> Says it checks parsing quality during development. Supplied a brief overview without metrics, methods or subgroup results.</w:t>
            </w:r>
          </w:p>
        </w:tc>
      </w:tr>
      <w:tr>
        <w:tc>
          <w:tcPr>
            <w:tcW w:type="dxa" w:w="2960"/>
          </w:tcPr>
          <w:p>
            <w:r>
              <w:rPr>
                <w:sz w:val="14"/>
              </w:rPr>
              <w:t>Q24</w:t>
            </w:r>
          </w:p>
        </w:tc>
        <w:tc>
          <w:tcPr>
            <w:tcW w:type="dxa" w:w="2960"/>
          </w:tcPr>
          <w:p>
            <w:r>
              <w:rPr>
                <w:b/>
                <w:sz w:val="14"/>
              </w:rPr>
              <w:t>What documentation explains how the system reaches outputs and what limits apply?</w:t>
            </w:r>
            <w:r>
              <w:rPr>
                <w:sz w:val="14"/>
              </w:rPr>
              <w:br/>
            </w:r>
            <w:r>
              <w:rPr>
                <w:sz w:val="14"/>
              </w:rPr>
              <w:t>Why: Useful explanations help staff assess outputs rather than treat them as authoritative. Evidence: Model or system card, explanation guide and limitations documentation.</w:t>
            </w:r>
          </w:p>
        </w:tc>
        <w:tc>
          <w:tcPr>
            <w:tcW w:type="dxa" w:w="2960"/>
            <w:shd w:val="clear" w:color="auto" w:fill="E8F1EC"/>
          </w:tcPr>
          <w:p>
            <w:r>
              <w:rPr>
                <w:b/>
                <w:sz w:val="14"/>
              </w:rPr>
              <w:t>Evidence provided.</w:t>
            </w:r>
            <w:r>
              <w:rPr>
                <w:sz w:val="14"/>
              </w:rPr>
              <w:t xml:space="preserve"> Says it can show the ticket text and knowledge sources used to draft a reply, but does not expose internal model reasoning. Supplied an operator guide with this distinction.</w:t>
            </w:r>
          </w:p>
        </w:tc>
        <w:tc>
          <w:tcPr>
            <w:tcW w:type="dxa" w:w="2960"/>
            <w:shd w:val="clear" w:color="auto" w:fill="E8F1EC"/>
          </w:tcPr>
          <w:p>
            <w:r>
              <w:rPr>
                <w:b/>
                <w:sz w:val="14"/>
              </w:rPr>
              <w:t>Evidence provided.</w:t>
            </w:r>
            <w:r>
              <w:rPr>
                <w:sz w:val="14"/>
              </w:rPr>
              <w:t xml:space="preserve"> Says each draft includes the data values and reorder rule that contributed to the proposal. Supplied a sample explanation panel and workflow guide.</w:t>
            </w:r>
          </w:p>
        </w:tc>
        <w:tc>
          <w:tcPr>
            <w:tcW w:type="dxa" w:w="2960"/>
            <w:shd w:val="clear" w:color="auto" w:fill="F8E5E3"/>
          </w:tcPr>
          <w:p>
            <w:r>
              <w:rPr>
                <w:b/>
                <w:sz w:val="14"/>
              </w:rPr>
              <w:t>Not provided.</w:t>
            </w:r>
            <w:r>
              <w:rPr>
                <w:sz w:val="14"/>
              </w:rPr>
              <w:t xml:space="preserve"> Says ranking reflects the employer’s criteria and service configuration. Supplied no explanation guide or model documentation.</w:t>
            </w:r>
          </w:p>
        </w:tc>
      </w:tr>
      <w:tr>
        <w:tc>
          <w:tcPr>
            <w:tcW w:type="dxa" w:w="2960"/>
          </w:tcPr>
          <w:p>
            <w:r>
              <w:rPr>
                <w:sz w:val="14"/>
              </w:rPr>
              <w:t>Q25</w:t>
            </w:r>
          </w:p>
        </w:tc>
        <w:tc>
          <w:tcPr>
            <w:tcW w:type="dxa" w:w="2960"/>
          </w:tcPr>
          <w:p>
            <w:r>
              <w:rPr>
                <w:b/>
                <w:sz w:val="14"/>
              </w:rPr>
              <w:t>How are fairness risks identified, tested and addressed for affected groups?</w:t>
            </w:r>
            <w:r>
              <w:rPr>
                <w:sz w:val="14"/>
              </w:rPr>
              <w:br/>
            </w:r>
            <w:r>
              <w:rPr>
                <w:sz w:val="14"/>
              </w:rPr>
              <w:t>Why: Fairness evidence is important where outputs may affect people’s opportunities. Evidence: Fairness assessment, test methodology, results by relevant groups and remediation record.</w:t>
            </w:r>
          </w:p>
        </w:tc>
        <w:tc>
          <w:tcPr>
            <w:tcW w:type="dxa" w:w="2960"/>
            <w:shd w:val="clear" w:color="auto" w:fill="FBF3DF"/>
          </w:tcPr>
          <w:p>
            <w:r>
              <w:rPr>
                <w:b/>
                <w:sz w:val="14"/>
              </w:rPr>
              <w:t>Partial.</w:t>
            </w:r>
            <w:r>
              <w:rPr>
                <w:sz w:val="14"/>
              </w:rPr>
              <w:t xml:space="preserve"> Says the reply-drafting feature is not designed to rank or make decisions about people. Supplied a product-scope note; no fairness testing report was provided.</w:t>
            </w:r>
          </w:p>
        </w:tc>
        <w:tc>
          <w:tcPr>
            <w:tcW w:type="dxa" w:w="2960"/>
          </w:tcPr>
          <w:p>
            <w:r>
              <w:rPr>
                <w:b/>
                <w:sz w:val="14"/>
              </w:rPr>
              <w:t>Not applicable.</w:t>
            </w:r>
            <w:r>
              <w:rPr>
                <w:sz w:val="14"/>
              </w:rPr>
              <w:t xml:space="preserve"> Says the service concerns stock replenishment rather than decisions about individuals. Supplied a system description supporting that scope.</w:t>
            </w:r>
          </w:p>
        </w:tc>
        <w:tc>
          <w:tcPr>
            <w:tcW w:type="dxa" w:w="2960"/>
            <w:shd w:val="clear" w:color="auto" w:fill="F8E5E3"/>
          </w:tcPr>
          <w:p>
            <w:r>
              <w:rPr>
                <w:b/>
                <w:sz w:val="14"/>
              </w:rPr>
              <w:t>Not provided.</w:t>
            </w:r>
            <w:r>
              <w:rPr>
                <w:sz w:val="14"/>
              </w:rPr>
              <w:t xml:space="preserve"> Says customers should review rankings for fairness. Supplied no fairness assessment, test method or results.</w:t>
            </w:r>
          </w:p>
        </w:tc>
      </w:tr>
    </w:tbl>
    <w:p/>
    <w:p>
      <w:pPr>
        <w:pStyle w:val="Heading2"/>
      </w:pPr>
      <w:r>
        <w:t>Agent actions and logging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960"/>
        <w:gridCol w:w="2960"/>
        <w:gridCol w:w="2960"/>
        <w:gridCol w:w="2960"/>
        <w:gridCol w:w="2960"/>
      </w:tblGrid>
      <w:tr>
        <w:trPr>
          <w:tblHeader w:val="true"/>
        </w:trPr>
        <w:tc>
          <w:tcPr>
            <w:tcW w:type="dxa" w:w="2960"/>
            <w:shd w:val="clear" w:color="auto" w:fill="E9EDF1"/>
          </w:tcPr>
          <w:p>
            <w:r>
              <w:rPr>
                <w:b/>
                <w:sz w:val="14"/>
              </w:rPr>
              <w:t>Q</w:t>
            </w:r>
          </w:p>
        </w:tc>
        <w:tc>
          <w:tcPr>
            <w:tcW w:type="dxa" w:w="2960"/>
            <w:shd w:val="clear" w:color="auto" w:fill="E9EDF1"/>
          </w:tcPr>
          <w:p>
            <w:r>
              <w:rPr>
                <w:b/>
                <w:sz w:val="14"/>
              </w:rPr>
              <w:t>Question and evidence requested</w:t>
            </w:r>
          </w:p>
        </w:tc>
        <w:tc>
          <w:tcPr>
            <w:tcW w:type="dxa" w:w="2960"/>
            <w:shd w:val="clear" w:color="auto" w:fill="E9EDF1"/>
          </w:tcPr>
          <w:p>
            <w:r>
              <w:rPr>
                <w:b/>
                <w:sz w:val="14"/>
              </w:rPr>
              <w:t>V-01 Fictional Helpdesk</w:t>
            </w:r>
          </w:p>
        </w:tc>
        <w:tc>
          <w:tcPr>
            <w:tcW w:type="dxa" w:w="2960"/>
            <w:shd w:val="clear" w:color="auto" w:fill="E9EDF1"/>
          </w:tcPr>
          <w:p>
            <w:r>
              <w:rPr>
                <w:b/>
                <w:sz w:val="14"/>
              </w:rPr>
              <w:t>V-02 Fictional Reorder Agent</w:t>
            </w:r>
          </w:p>
        </w:tc>
        <w:tc>
          <w:tcPr>
            <w:tcW w:type="dxa" w:w="2960"/>
            <w:shd w:val="clear" w:color="auto" w:fill="E9EDF1"/>
          </w:tcPr>
          <w:p>
            <w:r>
              <w:rPr>
                <w:b/>
                <w:sz w:val="14"/>
              </w:rPr>
              <w:t>V-03 Fictional Talent Screen</w:t>
            </w:r>
          </w:p>
        </w:tc>
      </w:tr>
      <w:tr>
        <w:tc>
          <w:tcPr>
            <w:tcW w:type="dxa" w:w="2960"/>
          </w:tcPr>
          <w:p>
            <w:r>
              <w:rPr>
                <w:sz w:val="14"/>
              </w:rPr>
              <w:t>Q26</w:t>
            </w:r>
          </w:p>
        </w:tc>
        <w:tc>
          <w:tcPr>
            <w:tcW w:type="dxa" w:w="2960"/>
          </w:tcPr>
          <w:p>
            <w:r>
              <w:rPr>
                <w:b/>
                <w:sz w:val="14"/>
              </w:rPr>
              <w:t>Can the system take actions on external parties or make changes without a human approval?</w:t>
            </w:r>
            <w:r>
              <w:rPr>
                <w:sz w:val="14"/>
              </w:rPr>
              <w:br/>
            </w:r>
            <w:r>
              <w:rPr>
                <w:sz w:val="14"/>
              </w:rPr>
              <w:t>Why: The system’s autonomy determines the controls and oversight required. Evidence: Permission matrix, workflow diagram and configuration evidence for action gates.</w:t>
            </w:r>
          </w:p>
        </w:tc>
        <w:tc>
          <w:tcPr>
            <w:tcW w:type="dxa" w:w="2960"/>
            <w:shd w:val="clear" w:color="auto" w:fill="E8F1EC"/>
          </w:tcPr>
          <w:p>
            <w:r>
              <w:rPr>
                <w:b/>
                <w:sz w:val="14"/>
              </w:rPr>
              <w:t>Evidence provided.</w:t>
            </w:r>
            <w:r>
              <w:rPr>
                <w:sz w:val="14"/>
              </w:rPr>
              <w:t xml:space="preserve"> Says reply drafting does not send a response without a user action, while web-chat has separate customer-facing settings. Supplied workflow diagrams and admin-setting screenshots.</w:t>
            </w:r>
          </w:p>
        </w:tc>
        <w:tc>
          <w:tcPr>
            <w:tcW w:type="dxa" w:w="2960"/>
            <w:shd w:val="clear" w:color="auto" w:fill="FBF3DF"/>
          </w:tcPr>
          <w:p>
            <w:r>
              <w:rPr>
                <w:b/>
                <w:sz w:val="14"/>
              </w:rPr>
              <w:t>Partial.</w:t>
            </w:r>
            <w:r>
              <w:rPr>
                <w:sz w:val="14"/>
              </w:rPr>
              <w:t xml:space="preserve"> Says it can create draft purchase orders and send them by email after configured approval. Supplied a permissions matrix; it says the gate exists but has not demonstrated it working in Quillmarrow’s tenant.</w:t>
            </w:r>
          </w:p>
        </w:tc>
        <w:tc>
          <w:tcPr>
            <w:tcW w:type="dxa" w:w="2960"/>
          </w:tcPr>
          <w:p>
            <w:r>
              <w:rPr>
                <w:b/>
                <w:sz w:val="14"/>
              </w:rPr>
              <w:t>Not applicable.</w:t>
            </w:r>
            <w:r>
              <w:rPr>
                <w:sz w:val="14"/>
              </w:rPr>
              <w:t xml:space="preserve"> Says the service produces parsing and ranking results and does not contact candidates or make hiring decisions. Supplied a product-scope statement.</w:t>
            </w:r>
          </w:p>
        </w:tc>
      </w:tr>
      <w:tr>
        <w:tc>
          <w:tcPr>
            <w:tcW w:type="dxa" w:w="2960"/>
          </w:tcPr>
          <w:p>
            <w:r>
              <w:rPr>
                <w:sz w:val="14"/>
              </w:rPr>
              <w:t>Q27</w:t>
            </w:r>
          </w:p>
        </w:tc>
        <w:tc>
          <w:tcPr>
            <w:tcW w:type="dxa" w:w="2960"/>
          </w:tcPr>
          <w:p>
            <w:r>
              <w:rPr>
                <w:b/>
                <w:sz w:val="14"/>
              </w:rPr>
              <w:t>Can administrators restrict the system’s permitted resources, recipients and actions?</w:t>
            </w:r>
            <w:r>
              <w:rPr>
                <w:sz w:val="14"/>
              </w:rPr>
              <w:br/>
            </w:r>
            <w:r>
              <w:rPr>
                <w:sz w:val="14"/>
              </w:rPr>
              <w:t>Why: Least-privilege controls limit the consequences of errors or misuse. Evidence: Permission configuration guide and tenant-specific access export.</w:t>
            </w:r>
          </w:p>
        </w:tc>
        <w:tc>
          <w:tcPr>
            <w:tcW w:type="dxa" w:w="2960"/>
            <w:shd w:val="clear" w:color="auto" w:fill="FBF3DF"/>
          </w:tcPr>
          <w:p>
            <w:r>
              <w:rPr>
                <w:b/>
                <w:sz w:val="14"/>
              </w:rPr>
              <w:t>Partial.</w:t>
            </w:r>
            <w:r>
              <w:rPr>
                <w:sz w:val="14"/>
              </w:rPr>
              <w:t xml:space="preserve"> Says administrators can restrict data sources, user roles and web-chat hand-off settings. Supplied a configuration guide, but no Quillmarrow tenant export.</w:t>
            </w:r>
          </w:p>
        </w:tc>
        <w:tc>
          <w:tcPr>
            <w:tcW w:type="dxa" w:w="2960"/>
            <w:shd w:val="clear" w:color="auto" w:fill="FBF3DF"/>
          </w:tcPr>
          <w:p>
            <w:r>
              <w:rPr>
                <w:b/>
                <w:sz w:val="14"/>
              </w:rPr>
              <w:t>Partial.</w:t>
            </w:r>
            <w:r>
              <w:rPr>
                <w:sz w:val="14"/>
              </w:rPr>
              <w:t xml:space="preserve"> Says resource scopes and supplier allow-lists are configurable. Supplied a permission template, not the deployed tenant configuration.</w:t>
            </w:r>
          </w:p>
        </w:tc>
        <w:tc>
          <w:tcPr>
            <w:tcW w:type="dxa" w:w="2960"/>
            <w:shd w:val="clear" w:color="auto" w:fill="FBF3DF"/>
          </w:tcPr>
          <w:p>
            <w:r>
              <w:rPr>
                <w:b/>
                <w:sz w:val="14"/>
              </w:rPr>
              <w:t>Partial.</w:t>
            </w:r>
            <w:r>
              <w:rPr>
                <w:sz w:val="14"/>
              </w:rPr>
              <w:t xml:space="preserve"> Says employer users control access to applicant records. Supplied no permission matrix or configuration evidence.</w:t>
            </w:r>
          </w:p>
        </w:tc>
      </w:tr>
      <w:tr>
        <w:tc>
          <w:tcPr>
            <w:tcW w:type="dxa" w:w="2960"/>
          </w:tcPr>
          <w:p>
            <w:r>
              <w:rPr>
                <w:sz w:val="14"/>
              </w:rPr>
              <w:t>Q28</w:t>
            </w:r>
          </w:p>
        </w:tc>
        <w:tc>
          <w:tcPr>
            <w:tcW w:type="dxa" w:w="2960"/>
          </w:tcPr>
          <w:p>
            <w:r>
              <w:rPr>
                <w:b/>
                <w:sz w:val="14"/>
              </w:rPr>
              <w:t>Are proposed actions subject to approval, and can approval be bound to the exact action?</w:t>
            </w:r>
            <w:r>
              <w:rPr>
                <w:sz w:val="14"/>
              </w:rPr>
              <w:br/>
            </w:r>
            <w:r>
              <w:rPr>
                <w:sz w:val="14"/>
              </w:rPr>
              <w:t>Why: Approval must apply to the specific action that will occur, not a later altered version. Evidence: Approval workflow specification, screen example and test evidence showing change invalidation.</w:t>
            </w:r>
          </w:p>
        </w:tc>
        <w:tc>
          <w:tcPr>
            <w:tcW w:type="dxa" w:w="2960"/>
            <w:shd w:val="clear" w:color="auto" w:fill="E8F1EC"/>
          </w:tcPr>
          <w:p>
            <w:r>
              <w:rPr>
                <w:b/>
                <w:sz w:val="14"/>
              </w:rPr>
              <w:t>Evidence provided.</w:t>
            </w:r>
            <w:r>
              <w:rPr>
                <w:sz w:val="14"/>
              </w:rPr>
              <w:t xml:space="preserve"> Says users review and approve drafted replies before sending; web-chat responses follow a separately configured workflow. Supplied workflow documentation and screen examples.</w:t>
            </w:r>
          </w:p>
        </w:tc>
        <w:tc>
          <w:tcPr>
            <w:tcW w:type="dxa" w:w="2960"/>
            <w:shd w:val="clear" w:color="auto" w:fill="FBF3DF"/>
          </w:tcPr>
          <w:p>
            <w:r>
              <w:rPr>
                <w:b/>
                <w:sz w:val="14"/>
              </w:rPr>
              <w:t>Partial.</w:t>
            </w:r>
            <w:r>
              <w:rPr>
                <w:sz w:val="14"/>
              </w:rPr>
              <w:t xml:space="preserve"> Says a purchase-order approval gate is available and approval is linked to the draft. Supplied a sample approval screen, but no successful or negative test from Quillmarrow’s tenant.</w:t>
            </w:r>
          </w:p>
        </w:tc>
        <w:tc>
          <w:tcPr>
            <w:tcW w:type="dxa" w:w="2960"/>
          </w:tcPr>
          <w:p>
            <w:r>
              <w:rPr>
                <w:b/>
                <w:sz w:val="14"/>
              </w:rPr>
              <w:t>Not applicable.</w:t>
            </w:r>
            <w:r>
              <w:rPr>
                <w:sz w:val="14"/>
              </w:rPr>
              <w:t xml:space="preserve"> Says rankings are available to employer users for review. Supplied no approval workflow because the service does not execute external actions.</w:t>
            </w:r>
          </w:p>
        </w:tc>
      </w:tr>
      <w:tr>
        <w:tc>
          <w:tcPr>
            <w:tcW w:type="dxa" w:w="2960"/>
          </w:tcPr>
          <w:p>
            <w:r>
              <w:rPr>
                <w:sz w:val="14"/>
              </w:rPr>
              <w:t>Q29</w:t>
            </w:r>
          </w:p>
        </w:tc>
        <w:tc>
          <w:tcPr>
            <w:tcW w:type="dxa" w:w="2960"/>
          </w:tcPr>
          <w:p>
            <w:r>
              <w:rPr>
                <w:b/>
                <w:sz w:val="14"/>
              </w:rPr>
              <w:t>What actions and decisions are logged, and can logs be exported for review?</w:t>
            </w:r>
            <w:r>
              <w:rPr>
                <w:sz w:val="14"/>
              </w:rPr>
              <w:br/>
            </w:r>
            <w:r>
              <w:rPr>
                <w:sz w:val="14"/>
              </w:rPr>
              <w:t>Why: Audit records support reconstruction, oversight and incident investigation. Evidence: Sample audit-log export with event fields, timestamps, actor and action outcomes.</w:t>
            </w:r>
          </w:p>
        </w:tc>
        <w:tc>
          <w:tcPr>
            <w:tcW w:type="dxa" w:w="2960"/>
            <w:shd w:val="clear" w:color="auto" w:fill="E8F1EC"/>
          </w:tcPr>
          <w:p>
            <w:r>
              <w:rPr>
                <w:b/>
                <w:sz w:val="14"/>
              </w:rPr>
              <w:t>Evidence provided.</w:t>
            </w:r>
            <w:r>
              <w:rPr>
                <w:sz w:val="14"/>
              </w:rPr>
              <w:t xml:space="preserve"> Says it records user approvals, sends, escalations and configuration changes. Supplied a redacted sample audit-log export.</w:t>
            </w:r>
          </w:p>
        </w:tc>
        <w:tc>
          <w:tcPr>
            <w:tcW w:type="dxa" w:w="2960"/>
            <w:shd w:val="clear" w:color="auto" w:fill="E8F1EC"/>
          </w:tcPr>
          <w:p>
            <w:r>
              <w:rPr>
                <w:b/>
                <w:sz w:val="14"/>
              </w:rPr>
              <w:t>Evidence provided.</w:t>
            </w:r>
            <w:r>
              <w:rPr>
                <w:sz w:val="14"/>
              </w:rPr>
              <w:t xml:space="preserve"> Says it logs source data timestamps, draft changes, approvals, stop conditions and send outcomes. Supplied a sample audit-log export with event identifiers and timestamps.</w:t>
            </w:r>
          </w:p>
        </w:tc>
        <w:tc>
          <w:tcPr>
            <w:tcW w:type="dxa" w:w="2960"/>
            <w:shd w:val="clear" w:color="auto" w:fill="F8E5E3"/>
          </w:tcPr>
          <w:p>
            <w:r>
              <w:rPr>
                <w:b/>
                <w:sz w:val="14"/>
              </w:rPr>
              <w:t>Not provided.</w:t>
            </w:r>
            <w:r>
              <w:rPr>
                <w:sz w:val="14"/>
              </w:rPr>
              <w:t xml:space="preserve"> Says user activity is recorded for account administration. Supplied no sample log or evidence that ranking inputs and outputs are captured.</w:t>
            </w:r>
          </w:p>
        </w:tc>
      </w:tr>
      <w:tr>
        <w:tc>
          <w:tcPr>
            <w:tcW w:type="dxa" w:w="2960"/>
          </w:tcPr>
          <w:p>
            <w:r>
              <w:rPr>
                <w:sz w:val="14"/>
              </w:rPr>
              <w:t>Q30</w:t>
            </w:r>
          </w:p>
        </w:tc>
        <w:tc>
          <w:tcPr>
            <w:tcW w:type="dxa" w:w="2960"/>
          </w:tcPr>
          <w:p>
            <w:r>
              <w:rPr>
                <w:b/>
                <w:sz w:val="14"/>
              </w:rPr>
              <w:t>Can the system be paused or disabled, and what happens to pending actions?</w:t>
            </w:r>
            <w:r>
              <w:rPr>
                <w:sz w:val="14"/>
              </w:rPr>
              <w:br/>
            </w:r>
            <w:r>
              <w:rPr>
                <w:sz w:val="14"/>
              </w:rPr>
              <w:t>Why: A reliable stop mechanism helps contain failures and uncertain actions. Evidence: Pause or disable procedure, queued-action behaviour and test record.</w:t>
            </w:r>
          </w:p>
        </w:tc>
        <w:tc>
          <w:tcPr>
            <w:tcW w:type="dxa" w:w="2960"/>
            <w:shd w:val="clear" w:color="auto" w:fill="E8F1EC"/>
          </w:tcPr>
          <w:p>
            <w:r>
              <w:rPr>
                <w:b/>
                <w:sz w:val="14"/>
              </w:rPr>
              <w:t>Evidence provided.</w:t>
            </w:r>
            <w:r>
              <w:rPr>
                <w:sz w:val="14"/>
              </w:rPr>
              <w:t xml:space="preserve"> Says administrators can disable AI drafting and web-chat separately; pending drafts remain unsent. Supplied the disable procedure and a service test note.</w:t>
            </w:r>
          </w:p>
        </w:tc>
        <w:tc>
          <w:tcPr>
            <w:tcW w:type="dxa" w:w="2960"/>
            <w:shd w:val="clear" w:color="auto" w:fill="FBF3DF"/>
          </w:tcPr>
          <w:p>
            <w:r>
              <w:rPr>
                <w:b/>
                <w:sz w:val="14"/>
              </w:rPr>
              <w:t>Partial.</w:t>
            </w:r>
            <w:r>
              <w:rPr>
                <w:sz w:val="14"/>
              </w:rPr>
              <w:t xml:space="preserve"> Says an administrator can pause new runs and queued purchase orders remain drafts. Supplied an operational runbook, but no tenant test showing queued-order behaviour.</w:t>
            </w:r>
          </w:p>
        </w:tc>
        <w:tc>
          <w:tcPr>
            <w:tcW w:type="dxa" w:w="2960"/>
            <w:shd w:val="clear" w:color="auto" w:fill="FBF3DF"/>
          </w:tcPr>
          <w:p>
            <w:r>
              <w:rPr>
                <w:b/>
                <w:sz w:val="14"/>
              </w:rPr>
              <w:t>Partial.</w:t>
            </w:r>
            <w:r>
              <w:rPr>
                <w:sz w:val="14"/>
              </w:rPr>
              <w:t xml:space="preserve"> Says administrators can suspend user access to the service. Supplied a settings screenshot, but no record-retention or pending-processing test.</w:t>
            </w:r>
          </w:p>
        </w:tc>
      </w:tr>
    </w:tbl>
    <w:p/>
    <w:p>
      <w:pPr>
        <w:pStyle w:val="Heading2"/>
      </w:pPr>
      <w:r>
        <w:t>What the answers mean for each use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960"/>
        <w:gridCol w:w="2960"/>
        <w:gridCol w:w="2960"/>
        <w:gridCol w:w="2960"/>
        <w:gridCol w:w="2960"/>
      </w:tblGrid>
      <w:tr>
        <w:trPr>
          <w:tblHeader w:val="true"/>
        </w:trPr>
        <w:tc>
          <w:tcPr>
            <w:tcW w:type="dxa" w:w="2960"/>
            <w:shd w:val="clear" w:color="auto" w:fill="E9EDF1"/>
          </w:tcPr>
          <w:p>
            <w:r>
              <w:rPr>
                <w:b/>
                <w:sz w:val="14"/>
              </w:rPr>
              <w:t>Vendor</w:t>
            </w:r>
          </w:p>
        </w:tc>
        <w:tc>
          <w:tcPr>
            <w:tcW w:type="dxa" w:w="2960"/>
            <w:shd w:val="clear" w:color="auto" w:fill="E9EDF1"/>
          </w:tcPr>
          <w:p>
            <w:r>
              <w:rPr>
                <w:b/>
                <w:sz w:val="14"/>
              </w:rPr>
              <w:t>Linked use</w:t>
            </w:r>
          </w:p>
        </w:tc>
        <w:tc>
          <w:tcPr>
            <w:tcW w:type="dxa" w:w="2960"/>
            <w:shd w:val="clear" w:color="auto" w:fill="E9EDF1"/>
          </w:tcPr>
          <w:p>
            <w:r>
              <w:rPr>
                <w:b/>
                <w:sz w:val="14"/>
              </w:rPr>
              <w:t>Position after fieldwork</w:t>
            </w:r>
          </w:p>
        </w:tc>
        <w:tc>
          <w:tcPr>
            <w:tcW w:type="dxa" w:w="2960"/>
            <w:shd w:val="clear" w:color="auto" w:fill="E9EDF1"/>
          </w:tcPr>
          <w:p>
            <w:r>
              <w:rPr>
                <w:b/>
                <w:sz w:val="14"/>
              </w:rPr>
              <w:t>Recommendation</w:t>
            </w:r>
          </w:p>
        </w:tc>
        <w:tc>
          <w:tcPr>
            <w:tcW w:type="dxa" w:w="2960"/>
            <w:shd w:val="clear" w:color="auto" w:fill="E9EDF1"/>
          </w:tcPr>
          <w:p>
            <w:r>
              <w:rPr>
                <w:b/>
                <w:sz w:val="14"/>
              </w:rPr>
              <w:t>Owner role</w:t>
            </w:r>
          </w:p>
        </w:tc>
      </w:tr>
      <w:tr>
        <w:tc>
          <w:tcPr>
            <w:tcW w:type="dxa" w:w="2960"/>
          </w:tcPr>
          <w:p>
            <w:r>
              <w:rPr>
                <w:sz w:val="14"/>
              </w:rPr>
              <w:t>V-01 Fictional Helpdesk</w:t>
            </w:r>
          </w:p>
        </w:tc>
        <w:tc>
          <w:tcPr>
            <w:tcW w:type="dxa" w:w="2960"/>
          </w:tcPr>
          <w:p>
            <w:r>
              <w:rPr>
                <w:sz w:val="14"/>
              </w:rPr>
              <w:t>AI-02 helpdesk drafting (Tier 2); AI-12 web-chat bot (Tier 3, not live)</w:t>
            </w:r>
          </w:p>
        </w:tc>
        <w:tc>
          <w:tcPr>
            <w:tcW w:type="dxa" w:w="2960"/>
          </w:tcPr>
          <w:p>
            <w:r>
              <w:rPr>
                <w:sz w:val="14"/>
              </w:rPr>
              <w:t>Strong evidence on training use, data location, security and contract. Open: retention and deletion confirmed for Quillmarrow's tenant (Q03), task-specific testing (Q23), and web-chat permissions set up in the tenant (Q27).</w:t>
            </w:r>
          </w:p>
        </w:tc>
        <w:tc>
          <w:tcPr>
            <w:tcW w:type="dxa" w:w="2960"/>
          </w:tcPr>
          <w:p>
            <w:r>
              <w:rPr>
                <w:sz w:val="14"/>
              </w:rPr>
              <w:t>Keep AI-02 approved with a person approving each reply. Do not start the web-chat pilot until Q27 is evidenced and the hand-off controls in A6 are configured.</w:t>
            </w:r>
          </w:p>
        </w:tc>
        <w:tc>
          <w:tcPr>
            <w:tcW w:type="dxa" w:w="2960"/>
          </w:tcPr>
          <w:p>
            <w:r>
              <w:rPr>
                <w:sz w:val="14"/>
              </w:rPr>
              <w:t>Head of Customer Service</w:t>
            </w:r>
          </w:p>
        </w:tc>
      </w:tr>
      <w:tr>
        <w:tc>
          <w:tcPr>
            <w:tcW w:type="dxa" w:w="2960"/>
          </w:tcPr>
          <w:p>
            <w:r>
              <w:rPr>
                <w:sz w:val="14"/>
              </w:rPr>
              <w:t>V-02 Fictional Reorder Agent</w:t>
            </w:r>
          </w:p>
        </w:tc>
        <w:tc>
          <w:tcPr>
            <w:tcW w:type="dxa" w:w="2960"/>
          </w:tcPr>
          <w:p>
            <w:r>
              <w:rPr>
                <w:sz w:val="14"/>
              </w:rPr>
              <w:t>AI-03 supplier reorder agent (Tier 3, pilot)</w:t>
            </w:r>
          </w:p>
        </w:tc>
        <w:tc>
          <w:tcPr>
            <w:tcW w:type="dxa" w:w="2960"/>
          </w:tcPr>
          <w:p>
            <w:r>
              <w:rPr>
                <w:sz w:val="14"/>
              </w:rPr>
              <w:t>Good logging evidence (Q29). Most other answers are statements, a draft DPA or templates. The approval gate, supplier allow-list and pause are described but not shown working in Quillmarrow's tenant (Q27, Q28, Q30).</w:t>
            </w:r>
          </w:p>
        </w:tc>
        <w:tc>
          <w:tcPr>
            <w:tcW w:type="dxa" w:w="2960"/>
          </w:tcPr>
          <w:p>
            <w:r>
              <w:rPr>
                <w:sz w:val="14"/>
              </w:rPr>
              <w:t>Keep the pilot in draft-only mode until the tests in A7 pass in the tenant and the DPA is signed.</w:t>
            </w:r>
          </w:p>
        </w:tc>
        <w:tc>
          <w:tcPr>
            <w:tcW w:type="dxa" w:w="2960"/>
          </w:tcPr>
          <w:p>
            <w:r>
              <w:rPr>
                <w:sz w:val="14"/>
              </w:rPr>
              <w:t>Purchasing Lead with the IT Manager</w:t>
            </w:r>
          </w:p>
        </w:tc>
      </w:tr>
      <w:tr>
        <w:tc>
          <w:tcPr>
            <w:tcW w:type="dxa" w:w="2960"/>
          </w:tcPr>
          <w:p>
            <w:r>
              <w:rPr>
                <w:sz w:val="14"/>
              </w:rPr>
              <w:t>V-03 Fictional Talent Screen</w:t>
            </w:r>
          </w:p>
        </w:tc>
        <w:tc>
          <w:tcPr>
            <w:tcW w:type="dxa" w:w="2960"/>
          </w:tcPr>
          <w:p>
            <w:r>
              <w:rPr>
                <w:sz w:val="14"/>
              </w:rPr>
              <w:t>AI-04 CV screening (Tier 3, on hold)</w:t>
            </w:r>
          </w:p>
        </w:tc>
        <w:tc>
          <w:tcPr>
            <w:tcW w:type="dxa" w:w="2960"/>
          </w:tcPr>
          <w:p>
            <w:r>
              <w:rPr>
                <w:sz w:val="14"/>
              </w:rPr>
              <w:t>No answer is backed by evidence. Training use (Q01), data location (Q06, Q07), retention (Q03), the DPA (Q16), explanation (Q24) and fairness testing (Q25) are all missing.</w:t>
            </w:r>
          </w:p>
        </w:tc>
        <w:tc>
          <w:tcPr>
            <w:tcW w:type="dxa" w:w="2960"/>
          </w:tcPr>
          <w:p>
            <w:r>
              <w:rPr>
                <w:sz w:val="14"/>
              </w:rPr>
              <w:t>Do not proceed in the current form. Keep AI-04 on hold, as set out in AIA-03.</w:t>
            </w:r>
          </w:p>
        </w:tc>
        <w:tc>
          <w:tcPr>
            <w:tcW w:type="dxa" w:w="2960"/>
          </w:tcPr>
          <w:p>
            <w:r>
              <w:rPr>
                <w:sz w:val="14"/>
              </w:rPr>
              <w:t>HR Manager; decision by the Managing Director</w:t>
            </w:r>
          </w:p>
        </w:tc>
      </w:tr>
    </w:tbl>
    <w:p/>
    <w:p>
      <w:pPr>
        <w:pStyle w:val="Heading2"/>
      </w:pPr>
      <w:r>
        <w:t>Follow-up requests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960"/>
        <w:gridCol w:w="2960"/>
        <w:gridCol w:w="2960"/>
        <w:gridCol w:w="2960"/>
        <w:gridCol w:w="2960"/>
      </w:tblGrid>
      <w:tr>
        <w:trPr>
          <w:tblHeader w:val="true"/>
        </w:trPr>
        <w:tc>
          <w:tcPr>
            <w:tcW w:type="dxa" w:w="2960"/>
            <w:shd w:val="clear" w:color="auto" w:fill="E9EDF1"/>
          </w:tcPr>
          <w:p>
            <w:r>
              <w:rPr>
                <w:b/>
                <w:sz w:val="14"/>
              </w:rPr>
              <w:t>ID</w:t>
            </w:r>
          </w:p>
        </w:tc>
        <w:tc>
          <w:tcPr>
            <w:tcW w:type="dxa" w:w="2960"/>
            <w:shd w:val="clear" w:color="auto" w:fill="E9EDF1"/>
          </w:tcPr>
          <w:p>
            <w:r>
              <w:rPr>
                <w:b/>
                <w:sz w:val="14"/>
              </w:rPr>
              <w:t>Request</w:t>
            </w:r>
          </w:p>
        </w:tc>
        <w:tc>
          <w:tcPr>
            <w:tcW w:type="dxa" w:w="2960"/>
            <w:shd w:val="clear" w:color="auto" w:fill="E9EDF1"/>
          </w:tcPr>
          <w:p>
            <w:r>
              <w:rPr>
                <w:b/>
                <w:sz w:val="14"/>
              </w:rPr>
              <w:t>Vendor</w:t>
            </w:r>
          </w:p>
        </w:tc>
        <w:tc>
          <w:tcPr>
            <w:tcW w:type="dxa" w:w="2960"/>
            <w:shd w:val="clear" w:color="auto" w:fill="E9EDF1"/>
          </w:tcPr>
          <w:p>
            <w:r>
              <w:rPr>
                <w:b/>
                <w:sz w:val="14"/>
              </w:rPr>
              <w:t>Owner role</w:t>
            </w:r>
          </w:p>
        </w:tc>
        <w:tc>
          <w:tcPr>
            <w:tcW w:type="dxa" w:w="2960"/>
            <w:shd w:val="clear" w:color="auto" w:fill="E9EDF1"/>
          </w:tcPr>
          <w:p>
            <w:r>
              <w:rPr>
                <w:b/>
                <w:sz w:val="14"/>
              </w:rPr>
              <w:t>Due</w:t>
            </w:r>
          </w:p>
        </w:tc>
      </w:tr>
      <w:tr>
        <w:tc>
          <w:tcPr>
            <w:tcW w:type="dxa" w:w="2960"/>
          </w:tcPr>
          <w:p>
            <w:r>
              <w:rPr>
                <w:sz w:val="14"/>
              </w:rPr>
              <w:t>VF-01</w:t>
            </w:r>
          </w:p>
        </w:tc>
        <w:tc>
          <w:tcPr>
            <w:tcW w:type="dxa" w:w="2960"/>
          </w:tcPr>
          <w:p>
            <w:r>
              <w:rPr>
                <w:sz w:val="14"/>
              </w:rPr>
              <w:t>Screenshot of tenant retention and deletion settings, and the web-chat permission configuration</w:t>
            </w:r>
          </w:p>
        </w:tc>
        <w:tc>
          <w:tcPr>
            <w:tcW w:type="dxa" w:w="2960"/>
          </w:tcPr>
          <w:p>
            <w:r>
              <w:rPr>
                <w:sz w:val="14"/>
              </w:rPr>
              <w:t>V-01</w:t>
            </w:r>
          </w:p>
        </w:tc>
        <w:tc>
          <w:tcPr>
            <w:tcW w:type="dxa" w:w="2960"/>
          </w:tcPr>
          <w:p>
            <w:r>
              <w:rPr>
                <w:sz w:val="14"/>
              </w:rPr>
              <w:t>Head of Customer Service</w:t>
            </w:r>
          </w:p>
        </w:tc>
        <w:tc>
          <w:tcPr>
            <w:tcW w:type="dxa" w:w="2960"/>
          </w:tcPr>
          <w:p>
            <w:r>
              <w:rPr>
                <w:sz w:val="14"/>
              </w:rPr>
              <w:t>Day 30</w:t>
            </w:r>
          </w:p>
        </w:tc>
      </w:tr>
      <w:tr>
        <w:tc>
          <w:tcPr>
            <w:tcW w:type="dxa" w:w="2960"/>
          </w:tcPr>
          <w:p>
            <w:r>
              <w:rPr>
                <w:sz w:val="14"/>
              </w:rPr>
              <w:t>VF-02</w:t>
            </w:r>
          </w:p>
        </w:tc>
        <w:tc>
          <w:tcPr>
            <w:tcW w:type="dxa" w:w="2960"/>
          </w:tcPr>
          <w:p>
            <w:r>
              <w:rPr>
                <w:sz w:val="14"/>
              </w:rPr>
              <w:t>Signed DPA with subprocessor list, locations and change-notice period</w:t>
            </w:r>
          </w:p>
        </w:tc>
        <w:tc>
          <w:tcPr>
            <w:tcW w:type="dxa" w:w="2960"/>
          </w:tcPr>
          <w:p>
            <w:r>
              <w:rPr>
                <w:sz w:val="14"/>
              </w:rPr>
              <w:t>V-02</w:t>
            </w:r>
          </w:p>
        </w:tc>
        <w:tc>
          <w:tcPr>
            <w:tcW w:type="dxa" w:w="2960"/>
          </w:tcPr>
          <w:p>
            <w:r>
              <w:rPr>
                <w:sz w:val="14"/>
              </w:rPr>
              <w:t>Purchasing Lead</w:t>
            </w:r>
          </w:p>
        </w:tc>
        <w:tc>
          <w:tcPr>
            <w:tcW w:type="dxa" w:w="2960"/>
          </w:tcPr>
          <w:p>
            <w:r>
              <w:rPr>
                <w:sz w:val="14"/>
              </w:rPr>
              <w:t>Day 30</w:t>
            </w:r>
          </w:p>
        </w:tc>
      </w:tr>
      <w:tr>
        <w:tc>
          <w:tcPr>
            <w:tcW w:type="dxa" w:w="2960"/>
          </w:tcPr>
          <w:p>
            <w:r>
              <w:rPr>
                <w:sz w:val="14"/>
              </w:rPr>
              <w:t>VF-03</w:t>
            </w:r>
          </w:p>
        </w:tc>
        <w:tc>
          <w:tcPr>
            <w:tcW w:type="dxa" w:w="2960"/>
          </w:tcPr>
          <w:p>
            <w:r>
              <w:rPr>
                <w:sz w:val="14"/>
              </w:rPr>
              <w:t>Recorded test in Quillmarrow's tenant: an order blocked without approval, an off-list supplier blocked, and a pause that holds queued orders as drafts</w:t>
            </w:r>
          </w:p>
        </w:tc>
        <w:tc>
          <w:tcPr>
            <w:tcW w:type="dxa" w:w="2960"/>
          </w:tcPr>
          <w:p>
            <w:r>
              <w:rPr>
                <w:sz w:val="14"/>
              </w:rPr>
              <w:t>V-02</w:t>
            </w:r>
          </w:p>
        </w:tc>
        <w:tc>
          <w:tcPr>
            <w:tcW w:type="dxa" w:w="2960"/>
          </w:tcPr>
          <w:p>
            <w:r>
              <w:rPr>
                <w:sz w:val="14"/>
              </w:rPr>
              <w:t>Purchasing Lead with the IT Manager</w:t>
            </w:r>
          </w:p>
        </w:tc>
        <w:tc>
          <w:tcPr>
            <w:tcW w:type="dxa" w:w="2960"/>
          </w:tcPr>
          <w:p>
            <w:r>
              <w:rPr>
                <w:sz w:val="14"/>
              </w:rPr>
              <w:t>Before pilot widens</w:t>
            </w:r>
          </w:p>
        </w:tc>
      </w:tr>
      <w:tr>
        <w:tc>
          <w:tcPr>
            <w:tcW w:type="dxa" w:w="2960"/>
          </w:tcPr>
          <w:p>
            <w:r>
              <w:rPr>
                <w:sz w:val="14"/>
              </w:rPr>
              <w:t>VF-04</w:t>
            </w:r>
          </w:p>
        </w:tc>
        <w:tc>
          <w:tcPr>
            <w:tcW w:type="dxa" w:w="2960"/>
          </w:tcPr>
          <w:p>
            <w:r>
              <w:rPr>
                <w:sz w:val="14"/>
              </w:rPr>
              <w:t>Independent security assessment summary or a dated plan to obtain one</w:t>
            </w:r>
          </w:p>
        </w:tc>
        <w:tc>
          <w:tcPr>
            <w:tcW w:type="dxa" w:w="2960"/>
          </w:tcPr>
          <w:p>
            <w:r>
              <w:rPr>
                <w:sz w:val="14"/>
              </w:rPr>
              <w:t>V-02</w:t>
            </w:r>
          </w:p>
        </w:tc>
        <w:tc>
          <w:tcPr>
            <w:tcW w:type="dxa" w:w="2960"/>
          </w:tcPr>
          <w:p>
            <w:r>
              <w:rPr>
                <w:sz w:val="14"/>
              </w:rPr>
              <w:t>IT Manager</w:t>
            </w:r>
          </w:p>
        </w:tc>
        <w:tc>
          <w:tcPr>
            <w:tcW w:type="dxa" w:w="2960"/>
          </w:tcPr>
          <w:p>
            <w:r>
              <w:rPr>
                <w:sz w:val="14"/>
              </w:rPr>
              <w:t>Day 60</w:t>
            </w:r>
          </w:p>
        </w:tc>
      </w:tr>
      <w:tr>
        <w:tc>
          <w:tcPr>
            <w:tcW w:type="dxa" w:w="2960"/>
          </w:tcPr>
          <w:p>
            <w:r>
              <w:rPr>
                <w:sz w:val="14"/>
              </w:rPr>
              <w:t>VF-05</w:t>
            </w:r>
          </w:p>
        </w:tc>
        <w:tc>
          <w:tcPr>
            <w:tcW w:type="dxa" w:w="2960"/>
          </w:tcPr>
          <w:p>
            <w:r>
              <w:rPr>
                <w:sz w:val="14"/>
              </w:rPr>
              <w:t>Only if management reopens AI-04: training-use setting, country-level hosting, DPA, explanation guide and fairness test method and results</w:t>
            </w:r>
          </w:p>
        </w:tc>
        <w:tc>
          <w:tcPr>
            <w:tcW w:type="dxa" w:w="2960"/>
          </w:tcPr>
          <w:p>
            <w:r>
              <w:rPr>
                <w:sz w:val="14"/>
              </w:rPr>
              <w:t>V-03</w:t>
            </w:r>
          </w:p>
        </w:tc>
        <w:tc>
          <w:tcPr>
            <w:tcW w:type="dxa" w:w="2960"/>
          </w:tcPr>
          <w:p>
            <w:r>
              <w:rPr>
                <w:sz w:val="14"/>
              </w:rPr>
              <w:t>HR Manager</w:t>
            </w:r>
          </w:p>
        </w:tc>
        <w:tc>
          <w:tcPr>
            <w:tcW w:type="dxa" w:w="2960"/>
          </w:tcPr>
          <w:p>
            <w:r>
              <w:rPr>
                <w:sz w:val="14"/>
              </w:rPr>
              <w:t>Before any reconsideration</w:t>
            </w:r>
          </w:p>
        </w:tc>
      </w:tr>
    </w:tbl>
    <w:p/>
    <w:p>
      <w:r>
        <w:rPr/>
        <w:t>Each answer that arrives is filed against its question number, and its status in the workbook is updated. A status only moves to Evidence provided when the document, setting or test record is on file.</w:t>
      </w:r>
    </w:p>
    <w:p>
      <w:pPr>
        <w:pStyle w:val="Heading2"/>
      </w:pPr>
      <w:r>
        <w:t>How this maps to the reference frameworks</w:t>
      </w:r>
    </w:p>
    <w:p>
      <w:pPr>
        <w:pStyle w:val="ListBullet"/>
      </w:pPr>
      <w:r>
        <w:rPr>
          <w:b/>
        </w:rPr>
        <w:t>Model AI Governance Framework for Generative AI (May 2024).</w:t>
      </w:r>
      <w:r>
        <w:t xml:space="preserve"> The accountability dimension expects responsibility to be shared sensibly along the supply chain. The questionnaire makes that split explicit for each vendor, and the follow-up requests close the gaps that sit on the vendor's side.</w:t>
      </w:r>
    </w:p>
    <w:p>
      <w:pPr>
        <w:pStyle w:val="ListBullet"/>
      </w:pPr>
      <w:r>
        <w:rPr>
          <w:b/>
        </w:rPr>
        <w:t>Model AI Governance Framework for Agentic AI (January 2026).</w:t>
      </w:r>
      <w:r>
        <w:t xml:space="preserve"> Its first dimension, assessing and bounding the risks upfront, is why the agent questions (Q26 to Q30) ask for permissions, approval gates and a pause shown working in the tenant, not just described.</w:t>
      </w:r>
    </w:p>
    <w:p>
      <w:pPr>
        <w:pStyle w:val="ListBullet"/>
      </w:pPr>
      <w:r>
        <w:rPr>
          <w:b/>
        </w:rPr>
        <w:t>PDPC Advisory Guidelines on Use of Personal Data in AI Recommendation and Decision Systems (March 2024).</w:t>
      </w:r>
      <w:r>
        <w:t xml:space="preserve"> These are relevant to AI-04, where applicants' personal data would feed a ranking. The missing answers for V-03 are the information Quillmarrow would need before it could explain the use to applicants.</w:t>
      </w:r>
    </w:p>
    <w:p>
      <w:pPr>
        <w:pStyle w:val="ListBullet"/>
      </w:pPr>
      <w:r>
        <w:rPr>
          <w:b/>
        </w:rPr>
        <w:t>Model AI Governance Framework, Second Edition (January 2020).</w:t>
      </w:r>
      <w:r>
        <w:t xml:space="preserve"> Operations management and stakeholder communication rely on knowing how a vendor's system was tested and how it changes, which Q21 to Q25 cover.</w:t>
      </w:r>
    </w:p>
    <w:p>
      <w:pPr>
        <w:pStyle w:val="ListBullet"/>
      </w:pPr>
      <w:r>
        <w:rPr>
          <w:b/>
        </w:rPr>
        <w:t>AI Verify (11 principles).</w:t>
      </w:r>
      <w:r>
        <w:t xml:space="preserve"> The questions map mainly to transparency, data governance, security, robustness, fairness, accountability, and human agency and oversight. This is a process-level mapping only; no AI Verify technical tests were run.</w:t>
      </w:r>
    </w:p>
    <w:p>
      <w:pPr>
        <w:pStyle w:val="Heading2"/>
      </w:pPr>
      <w:r>
        <w:t>About this sample</w:t>
      </w:r>
    </w:p>
    <w:p>
      <w:r>
        <w:rPr>
          <w:b/>
        </w:rPr>
        <w:t>Fictional organisation, illustrative only, not a client case study.</w:t>
      </w:r>
      <w:r>
        <w:rPr/>
        <w:t xml:space="preserve"> Quillmarrow Supplies Pte. Ltd., its people, vendors, findings and dates are invented. Nothing in this document reports a client result.</w:t>
      </w:r>
    </w:p>
    <w:p>
      <w:r>
        <w:rPr/>
        <w:t>I personally review and sign off every deliverable. You appoint your own DPO. I support them.</w:t>
      </w:r>
    </w:p>
    <w:p>
      <w:r>
        <w:rPr/>
        <w:t>This is practical compliance support, not legal advice. For legal advice, use a Singapore-qualified lawyer.</w:t>
      </w:r>
    </w:p>
    <w:p>
      <w:r>
        <w:rPr>
          <w:b/>
        </w:rPr>
        <w:t>What's not included</w:t>
      </w:r>
    </w:p>
    <w:p>
      <w:pPr>
        <w:pStyle w:val="ListBullet"/>
      </w:pPr>
      <w:r>
        <w:t>Legal advice, legal opinions on vendor terms or regulatory representation.</w:t>
      </w:r>
    </w:p>
    <w:p>
      <w:pPr>
        <w:pStyle w:val="ListBullet"/>
      </w:pPr>
      <w:r>
        <w:t>AI Verify technical testing, model benchmarking, penetration testing or security engineering, unless the relevant work is separately scoped.</w:t>
      </w:r>
    </w:p>
    <w:p>
      <w:pPr>
        <w:pStyle w:val="ListBullet"/>
      </w:pPr>
      <w:r>
        <w:t>Building an AI system, implementing integrations or changing live permissions and configurations.</w:t>
      </w:r>
    </w:p>
    <w:p>
      <w:pPr>
        <w:pStyle w:val="ListBullet"/>
      </w:pPr>
      <w:r>
        <w:t>Certification, a compliance guarantee or an assurance that a model cannot fail.</w:t>
      </w:r>
    </w:p>
    <w:p>
      <w:pPr>
        <w:pStyle w:val="ListBullet"/>
      </w:pPr>
      <w:r>
        <w:t>An organisation-wide ISO/IEC 42001 readiness engagement unless expressly included in the quote.</w:t>
      </w:r>
    </w:p>
    <w:p>
      <w:pPr>
        <w:pStyle w:val="ListBullet"/>
      </w:pPr>
      <w:r>
        <w:t>Healthcare-sector work or on-site delivery.</w:t>
      </w:r>
    </w:p>
    <w:p>
      <w:r>
        <w:rPr/>
        <w:t>ISO/IEC 42001 work is a readiness check only, never certification. Questions about this sample: DM @alewyl1 on X, or ask for a free intro call (coffee chat).</w:t>
      </w:r>
    </w:p>
    <w:sectPr w:rsidR="00FC693F" w:rsidRPr="0006063C" w:rsidSect="00034616">
      <w:headerReference w:type="default" r:id="rId9"/>
      <w:footerReference w:type="default" r:id="rId10"/>
      <w:pgSz w:w="16838" w:h="11906" w:orient="landscape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B6670"/>
        <w:sz w:val="15"/>
      </w:rPr>
      <w:t xml:space="preserve">Fictional organisation, illustrative only, not a client case study · Not legal advice · Page </w:t>
    </w:r>
    <w:r>
      <w:fldChar w:fldCharType="begin"/>
    </w:r>
    <w:r>
      <w:instrText xml:space="preserve">PAGE</w:instrText>
    </w:r>
    <w:r>
      <w:fldChar w:fldCharType="end"/>
    </w:r>
    <w:r>
      <w:rPr>
        <w:sz w:val="15"/>
      </w:rPr>
      <w:t xml:space="preserve"> of </w:t>
    </w:r>
    <w:r>
      <w:fldChar w:fldCharType="begin"/>
    </w:r>
    <w:r>
      <w:instrText xml:space="preserve">NUMPAGES</w:instrText>
    </w:r>
    <w: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B6670"/>
        <w:sz w:val="15"/>
      </w:rPr>
      <w:t>Quillmarrow Supplies Pte. Ltd. (fictional) · AI governance review · A8 · v1.0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F293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mbria" w:hAnsi="Cambria"/>
      <w:b/>
      <w:bCs/>
      <w:color w:val="1F3A52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mbria" w:hAnsi="Cambria"/>
      <w:b/>
      <w:bCs/>
      <w:color w:val="1F3A5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mbria" w:hAnsi="Cambria"/>
      <w:b/>
      <w:bCs/>
      <w:color w:val="1F3A52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A8 Vendor and model due diligence questionnaire</dc:title>
  <dc:subject>Fictional organisation, illustrative only, not a client case study</dc:subject>
  <dc:creator>Alex Lew</dc:creator>
  <cp:keywords>AI governance; sample; fictional</cp:keywords>
  <dc:description>Fictional organisation, illustrative only, not a client case study</dc:description>
  <cp:lastModifiedBy>Alex Lew</cp:lastModifiedBy>
  <cp:revision>1</cp:revision>
  <dcterms:created xsi:type="dcterms:W3CDTF">2026-10-30T09:00:00Z</dcterms:created>
  <dcterms:modified xsi:type="dcterms:W3CDTF">2026-10-30T09:00:00Z</dcterms:modified>
  <cp:category>Sample</cp:category>
</cp:coreProperties>
</file>