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3E5C76"/>
          <w:sz w:val="16"/>
        </w:rPr>
        <w:t>MONTHLY DPO SUPPORT PACK · C0</w:t>
      </w:r>
    </w:p>
    <w:p>
      <w:pPr>
        <w:pStyle w:val="Heading1"/>
      </w:pPr>
      <w:r>
        <w:t>Monthly DPO support pack: cover, contents and how to read it</w:t>
      </w:r>
    </w:p>
    <w:p>
      <w:r>
        <w:rPr>
          <w:b/>
        </w:rPr>
        <w:t xml:space="preserve">Fictional organisation, illustrative only, not a client case study. </w:t>
      </w:r>
      <w:r>
        <w:t>Quillmarrow Supplies Pte. Ltd. (fictional) is invented. All people are shown by role only.</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Organisation</w:t>
            </w:r>
          </w:p>
        </w:tc>
        <w:tc>
          <w:tcPr>
            <w:tcW w:type="dxa" w:w="4933"/>
          </w:tcPr>
          <w:p>
            <w:r>
              <w:rPr>
                <w:sz w:val="16"/>
              </w:rPr>
              <w:t>Quillmarrow Supplies Pte. Ltd. (fictional)</w:t>
            </w:r>
          </w:p>
        </w:tc>
      </w:tr>
      <w:tr>
        <w:tc>
          <w:tcPr>
            <w:tcW w:type="dxa" w:w="4933"/>
            <w:shd w:val="clear" w:color="auto" w:fill="E9EDF1"/>
          </w:tcPr>
          <w:p>
            <w:r>
              <w:rPr>
                <w:b/>
                <w:sz w:val="16"/>
              </w:rPr>
              <w:t>Document</w:t>
            </w:r>
          </w:p>
        </w:tc>
        <w:tc>
          <w:tcPr>
            <w:tcW w:type="dxa" w:w="4933"/>
          </w:tcPr>
          <w:p>
            <w:r>
              <w:rPr>
                <w:sz w:val="16"/>
              </w:rPr>
              <w:t>C0 · Monthly DPO support pack: cover, contents and how to read it</w:t>
            </w:r>
          </w:p>
        </w:tc>
      </w:tr>
      <w:tr>
        <w:tc>
          <w:tcPr>
            <w:tcW w:type="dxa" w:w="4933"/>
            <w:shd w:val="clear" w:color="auto" w:fill="E9EDF1"/>
          </w:tcPr>
          <w:p>
            <w:r>
              <w:rPr>
                <w:b/>
                <w:sz w:val="16"/>
              </w:rPr>
              <w:t>Version</w:t>
            </w:r>
          </w:p>
        </w:tc>
        <w:tc>
          <w:tcPr>
            <w:tcW w:type="dxa" w:w="4933"/>
          </w:tcPr>
          <w:p>
            <w:r>
              <w:rPr>
                <w:sz w:val="16"/>
              </w:rPr>
              <w:t>1.0</w:t>
            </w:r>
          </w:p>
        </w:tc>
      </w:tr>
      <w:tr>
        <w:tc>
          <w:tcPr>
            <w:tcW w:type="dxa" w:w="4933"/>
            <w:shd w:val="clear" w:color="auto" w:fill="E9EDF1"/>
          </w:tcPr>
          <w:p>
            <w:r>
              <w:rPr>
                <w:b/>
                <w:sz w:val="16"/>
              </w:rPr>
              <w:t>Date</w:t>
            </w:r>
          </w:p>
        </w:tc>
        <w:tc>
          <w:tcPr>
            <w:tcW w:type="dxa" w:w="4933"/>
          </w:tcPr>
          <w:p>
            <w:r>
              <w:rPr>
                <w:sz w:val="16"/>
              </w:rPr>
              <w:t>12 February 2027 (illustrative)</w:t>
            </w:r>
          </w:p>
        </w:tc>
      </w:tr>
      <w:tr>
        <w:tc>
          <w:tcPr>
            <w:tcW w:type="dxa" w:w="4933"/>
            <w:shd w:val="clear" w:color="auto" w:fill="E9EDF1"/>
          </w:tcPr>
          <w:p>
            <w:r>
              <w:rPr>
                <w:b/>
                <w:sz w:val="16"/>
              </w:rPr>
              <w:t>Prepared by</w:t>
            </w:r>
          </w:p>
        </w:tc>
        <w:tc>
          <w:tcPr>
            <w:tcW w:type="dxa" w:w="4933"/>
          </w:tcPr>
          <w:p>
            <w:r>
              <w:rPr>
                <w:sz w:val="16"/>
              </w:rPr>
              <w:t>Alex Lew, reviewer and sign-off</w:t>
            </w:r>
          </w:p>
        </w:tc>
      </w:tr>
      <w:tr>
        <w:tc>
          <w:tcPr>
            <w:tcW w:type="dxa" w:w="4933"/>
            <w:shd w:val="clear" w:color="auto" w:fill="E9EDF1"/>
          </w:tcPr>
          <w:p>
            <w:r>
              <w:rPr>
                <w:b/>
                <w:sz w:val="16"/>
              </w:rPr>
              <w:t>Client approver (role)</w:t>
            </w:r>
          </w:p>
        </w:tc>
        <w:tc>
          <w:tcPr>
            <w:tcW w:type="dxa" w:w="4933"/>
          </w:tcPr>
          <w:p>
            <w:r>
              <w:rPr>
                <w:sz w:val="16"/>
              </w:rPr>
              <w:t>Managing Director (approves the final pack)</w:t>
            </w:r>
          </w:p>
        </w:tc>
      </w:tr>
      <w:tr>
        <w:tc>
          <w:tcPr>
            <w:tcW w:type="dxa" w:w="4933"/>
            <w:shd w:val="clear" w:color="auto" w:fill="E9EDF1"/>
          </w:tcPr>
          <w:p>
            <w:r>
              <w:rPr>
                <w:b/>
                <w:sz w:val="16"/>
              </w:rPr>
              <w:t>Label</w:t>
            </w:r>
          </w:p>
        </w:tc>
        <w:tc>
          <w:tcPr>
            <w:tcW w:type="dxa" w:w="4933"/>
          </w:tcPr>
          <w:p>
            <w:r>
              <w:rPr>
                <w:sz w:val="16"/>
              </w:rPr>
              <w:t>Fictional organisation, illustrative only, not a client case study</w:t>
            </w:r>
          </w:p>
        </w:tc>
      </w:tr>
    </w:tbl>
    <w:p/>
    <w:p>
      <w:pPr>
        <w:pStyle w:val="Heading2"/>
      </w:pPr>
      <w:r>
        <w:t>What this pack shows</w:t>
      </w:r>
    </w:p>
    <w:p>
      <w:r>
        <w:rPr/>
        <w:t>Quillmarrow Supplies Pte. Ltd. (fictional) is an office-supplies distributor with about 80 staff, a Singapore showroom and warehouse, a web shop and trade accounts. In October 2026 it completed a PDPA programme (the B1 to B16 pack). Its Head of Operations, the appointed Data Protection Officer (DPO), accepted the handover on 2 November 2026 and the Managing Director (MD) acknowledged it the same day.</w:t>
      </w:r>
    </w:p>
    <w:p>
      <w:r>
        <w:rPr/>
        <w:t>This pack shows the three months that followed: November 2026, December 2026 and January 2027. The DPO ran the programme. Management made the decisions. The reviewer supported the DPO with a monthly check-in, reviews of drafts and records, and a quarterly report to management. All dates are illustrative.</w:t>
      </w:r>
    </w:p>
    <w:p>
      <w:r>
        <w:rPr>
          <w:b/>
        </w:rPr>
        <w:t>You appoint your own DPO. I support them.</w:t>
      </w:r>
      <w:r>
        <w:rPr/>
        <w:t xml:space="preserve"> In this pack, every decision and approval is recorded against a Quillmarrow role. The reviewer is never the DPO, is never named as the DPO and does not submit notifications.</w:t>
      </w:r>
    </w:p>
    <w:p>
      <w:pPr>
        <w:pStyle w:val="Heading2"/>
      </w:pPr>
      <w:r>
        <w:t>Decisions this supports</w:t>
      </w:r>
    </w:p>
    <w:p>
      <w:r>
        <w:rPr/>
        <w:t>The pack helps the DPO and management answer five recurring questions. The table shows where each one is answered and which Quillmarrow role decides.</w:t>
      </w:r>
    </w:p>
    <w:p>
      <w:pPr>
        <w:pStyle w:val="Heading3"/>
      </w:pPr>
      <w:r>
        <w:t>Where each decision is answered</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Decision</w:t>
            </w:r>
          </w:p>
        </w:tc>
        <w:tc>
          <w:tcPr>
            <w:tcW w:type="dxa" w:w="3289"/>
            <w:shd w:val="clear" w:color="auto" w:fill="E9EDF1"/>
          </w:tcPr>
          <w:p>
            <w:r>
              <w:rPr>
                <w:b/>
                <w:sz w:val="16"/>
              </w:rPr>
              <w:t>Answered in</w:t>
            </w:r>
          </w:p>
        </w:tc>
        <w:tc>
          <w:tcPr>
            <w:tcW w:type="dxa" w:w="3289"/>
            <w:shd w:val="clear" w:color="auto" w:fill="E9EDF1"/>
          </w:tcPr>
          <w:p>
            <w:r>
              <w:rPr>
                <w:b/>
                <w:sz w:val="16"/>
              </w:rPr>
              <w:t>Decided by (role)</w:t>
            </w:r>
          </w:p>
        </w:tc>
      </w:tr>
      <w:tr>
        <w:tc>
          <w:tcPr>
            <w:tcW w:type="dxa" w:w="3289"/>
          </w:tcPr>
          <w:p>
            <w:r>
              <w:rPr>
                <w:sz w:val="16"/>
              </w:rPr>
              <w:t>Requests, complaints and process changes</w:t>
            </w:r>
          </w:p>
        </w:tc>
        <w:tc>
          <w:tcPr>
            <w:tcW w:type="dxa" w:w="3289"/>
          </w:tcPr>
          <w:p>
            <w:r>
              <w:rPr>
                <w:sz w:val="16"/>
              </w:rPr>
              <w:t>C3 request and complaint log; C5 change log</w:t>
            </w:r>
          </w:p>
        </w:tc>
        <w:tc>
          <w:tcPr>
            <w:tcW w:type="dxa" w:w="3289"/>
          </w:tcPr>
          <w:p>
            <w:r>
              <w:rPr>
                <w:sz w:val="16"/>
              </w:rPr>
              <w:t>DPO; document approvers as listed in C5</w:t>
            </w:r>
          </w:p>
        </w:tc>
      </w:tr>
      <w:tr>
        <w:tc>
          <w:tcPr>
            <w:tcW w:type="dxa" w:w="3289"/>
          </w:tcPr>
          <w:p>
            <w:r>
              <w:rPr>
                <w:sz w:val="16"/>
              </w:rPr>
              <w:t>Adding a vendor, system or data use</w:t>
            </w:r>
          </w:p>
        </w:tc>
        <w:tc>
          <w:tcPr>
            <w:tcW w:type="dxa" w:w="3289"/>
          </w:tcPr>
          <w:p>
            <w:r>
              <w:rPr>
                <w:sz w:val="16"/>
              </w:rPr>
              <w:t>C4 vendor review record (DV-04)</w:t>
            </w:r>
          </w:p>
        </w:tc>
        <w:tc>
          <w:tcPr>
            <w:tcW w:type="dxa" w:w="3289"/>
          </w:tcPr>
          <w:p>
            <w:r>
              <w:rPr>
                <w:sz w:val="16"/>
              </w:rPr>
              <w:t>DPO decides; COO approves</w:t>
            </w:r>
          </w:p>
        </w:tc>
      </w:tr>
      <w:tr>
        <w:tc>
          <w:tcPr>
            <w:tcW w:type="dxa" w:w="3289"/>
          </w:tcPr>
          <w:p>
            <w:r>
              <w:rPr>
                <w:sz w:val="16"/>
              </w:rPr>
              <w:t>Open actions needing management attention</w:t>
            </w:r>
          </w:p>
        </w:tc>
        <w:tc>
          <w:tcPr>
            <w:tcW w:type="dxa" w:w="3289"/>
          </w:tcPr>
          <w:p>
            <w:r>
              <w:rPr>
                <w:sz w:val="16"/>
              </w:rPr>
              <w:t>C2 shared action tracker; C8 quarterly report</w:t>
            </w:r>
          </w:p>
        </w:tc>
        <w:tc>
          <w:tcPr>
            <w:tcW w:type="dxa" w:w="3289"/>
          </w:tcPr>
          <w:p>
            <w:r>
              <w:rPr>
                <w:sz w:val="16"/>
              </w:rPr>
              <w:t>MD and COO</w:t>
            </w:r>
          </w:p>
        </w:tc>
      </w:tr>
      <w:tr>
        <w:tc>
          <w:tcPr>
            <w:tcW w:type="dxa" w:w="3289"/>
          </w:tcPr>
          <w:p>
            <w:r>
              <w:rPr>
                <w:sz w:val="16"/>
              </w:rPr>
              <w:t>What to escalate, and to whom</w:t>
            </w:r>
          </w:p>
        </w:tc>
        <w:tc>
          <w:tcPr>
            <w:tcW w:type="dxa" w:w="3289"/>
          </w:tcPr>
          <w:p>
            <w:r>
              <w:rPr>
                <w:sz w:val="16"/>
              </w:rPr>
              <w:t>C1 monthly report; C8 quarterly report</w:t>
            </w:r>
          </w:p>
        </w:tc>
        <w:tc>
          <w:tcPr>
            <w:tcW w:type="dxa" w:w="3289"/>
          </w:tcPr>
          <w:p>
            <w:r>
              <w:rPr>
                <w:sz w:val="16"/>
              </w:rPr>
              <w:t>DPO escalates to the COO or MD</w:t>
            </w:r>
          </w:p>
        </w:tc>
      </w:tr>
      <w:tr>
        <w:tc>
          <w:tcPr>
            <w:tcW w:type="dxa" w:w="3289"/>
          </w:tcPr>
          <w:p>
            <w:r>
              <w:rPr>
                <w:sz w:val="16"/>
              </w:rPr>
              <w:t>Suspected breaches</w:t>
            </w:r>
          </w:p>
        </w:tc>
        <w:tc>
          <w:tcPr>
            <w:tcW w:type="dxa" w:w="3289"/>
          </w:tcPr>
          <w:p>
            <w:r>
              <w:rPr>
                <w:sz w:val="16"/>
              </w:rPr>
              <w:t>C7 breach drill record; INC-2026-11 in the December monthly report (C1)</w:t>
            </w:r>
          </w:p>
        </w:tc>
        <w:tc>
          <w:tcPr>
            <w:tcW w:type="dxa" w:w="3289"/>
          </w:tcPr>
          <w:p>
            <w:r>
              <w:rPr>
                <w:sz w:val="16"/>
              </w:rPr>
              <w:t>MD and DPO (notification decision)</w:t>
            </w:r>
          </w:p>
        </w:tc>
      </w:tr>
    </w:tbl>
    <w:p/>
    <w:p>
      <w:pPr>
        <w:pStyle w:val="Heading2"/>
      </w:pPr>
      <w:r>
        <w:t>The quarter at a glance</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Measure</w:t>
            </w:r>
          </w:p>
        </w:tc>
        <w:tc>
          <w:tcPr>
            <w:tcW w:type="dxa" w:w="4933"/>
            <w:shd w:val="clear" w:color="auto" w:fill="E9EDF1"/>
          </w:tcPr>
          <w:p>
            <w:r>
              <w:rPr>
                <w:b/>
                <w:sz w:val="16"/>
              </w:rPr>
              <w:t>What the pack records</w:t>
            </w:r>
          </w:p>
        </w:tc>
      </w:tr>
      <w:tr>
        <w:tc>
          <w:tcPr>
            <w:tcW w:type="dxa" w:w="4933"/>
          </w:tcPr>
          <w:p>
            <w:r>
              <w:rPr>
                <w:sz w:val="16"/>
              </w:rPr>
              <w:t>Review areas (from B2)</w:t>
            </w:r>
          </w:p>
        </w:tc>
        <w:tc>
          <w:tcPr>
            <w:tcW w:type="dxa" w:w="4933"/>
          </w:tcPr>
          <w:p>
            <w:r>
              <w:rPr>
                <w:sz w:val="16"/>
              </w:rPr>
              <w:t>At handover: 3 Red, 6 Amber, 1 Green/Amber, 1 Green. At 31 January 2027: 8 Green, 3 Amber (G-02, G-08, G-09), none Red</w:t>
            </w:r>
          </w:p>
        </w:tc>
      </w:tr>
      <w:tr>
        <w:tc>
          <w:tcPr>
            <w:tcW w:type="dxa" w:w="4933"/>
          </w:tcPr>
          <w:p>
            <w:r>
              <w:rPr>
                <w:sz w:val="16"/>
              </w:rPr>
              <w:t>Shared actions</w:t>
            </w:r>
          </w:p>
        </w:tc>
        <w:tc>
          <w:tcPr>
            <w:tcW w:type="dxa" w:w="4933"/>
          </w:tcPr>
          <w:p>
            <w:r>
              <w:rPr>
                <w:sz w:val="16"/>
              </w:rPr>
              <w:t>15 (DA-01 to DA-15): 8 closed, 1 in progress, 4 open, 2 overdue</w:t>
            </w:r>
          </w:p>
        </w:tc>
      </w:tr>
      <w:tr>
        <w:tc>
          <w:tcPr>
            <w:tcW w:type="dxa" w:w="4933"/>
          </w:tcPr>
          <w:p>
            <w:r>
              <w:rPr>
                <w:sz w:val="16"/>
              </w:rPr>
              <w:t>Requests and complaints</w:t>
            </w:r>
          </w:p>
        </w:tc>
        <w:tc>
          <w:tcPr>
            <w:tcW w:type="dxa" w:w="4933"/>
          </w:tcPr>
          <w:p>
            <w:r>
              <w:rPr>
                <w:sz w:val="16"/>
              </w:rPr>
              <w:t>8 (AR-07 to AR-14): 7 closed within Quillmarrow's own response target in B7, 1 open within that target, 1 acknowledgement late</w:t>
            </w:r>
          </w:p>
        </w:tc>
      </w:tr>
      <w:tr>
        <w:tc>
          <w:tcPr>
            <w:tcW w:type="dxa" w:w="4933"/>
          </w:tcPr>
          <w:p>
            <w:r>
              <w:rPr>
                <w:sz w:val="16"/>
              </w:rPr>
              <w:t>Incidents</w:t>
            </w:r>
          </w:p>
        </w:tc>
        <w:tc>
          <w:tcPr>
            <w:tcW w:type="dxa" w:w="4933"/>
          </w:tcPr>
          <w:p>
            <w:r>
              <w:rPr>
                <w:sz w:val="16"/>
              </w:rPr>
              <w:t>1 (INC-2026-11, 10 December 2026: a statement of account emailed to the wrong B2B customer; deleted by the recipient the same day). The DPO completed the assessment on 11 December 2026; the MD and DPO then recorded a separate decision that it was not notifiable, so no PDPC notification was made</w:t>
            </w:r>
          </w:p>
        </w:tc>
      </w:tr>
      <w:tr>
        <w:tc>
          <w:tcPr>
            <w:tcW w:type="dxa" w:w="4933"/>
          </w:tcPr>
          <w:p>
            <w:r>
              <w:rPr>
                <w:sz w:val="16"/>
              </w:rPr>
              <w:t>Vendor changes</w:t>
            </w:r>
          </w:p>
        </w:tc>
        <w:tc>
          <w:tcPr>
            <w:tcW w:type="dxa" w:w="4933"/>
          </w:tcPr>
          <w:p>
            <w:r>
              <w:rPr>
                <w:sz w:val="16"/>
              </w:rPr>
              <w:t>1 new vendor reviewed (DV-04, evening and weekend customer support). The DPO decided on 18 January 2027 to allow a pilot only if the DA-13 conditions are met; the COO approved on 20 January 2027</w:t>
            </w:r>
          </w:p>
        </w:tc>
      </w:tr>
      <w:tr>
        <w:tc>
          <w:tcPr>
            <w:tcW w:type="dxa" w:w="4933"/>
          </w:tcPr>
          <w:p>
            <w:r>
              <w:rPr>
                <w:sz w:val="16"/>
              </w:rPr>
              <w:t>Policy and procedure changes</w:t>
            </w:r>
          </w:p>
        </w:tc>
        <w:tc>
          <w:tcPr>
            <w:tcW w:type="dxa" w:w="4933"/>
          </w:tcPr>
          <w:p>
            <w:r>
              <w:rPr>
                <w:sz w:val="16"/>
              </w:rPr>
              <w:t>10 (PC-01 to PC-10), each with an approver and a staff communication</w:t>
            </w:r>
          </w:p>
        </w:tc>
      </w:tr>
      <w:tr>
        <w:tc>
          <w:tcPr>
            <w:tcW w:type="dxa" w:w="4933"/>
          </w:tcPr>
          <w:p>
            <w:r>
              <w:rPr>
                <w:sz w:val="16"/>
              </w:rPr>
              <w:t>Staff</w:t>
            </w:r>
          </w:p>
        </w:tc>
        <w:tc>
          <w:tcPr>
            <w:tcW w:type="dxa" w:w="4933"/>
          </w:tcPr>
          <w:p>
            <w:r>
              <w:rPr>
                <w:sz w:val="16"/>
              </w:rPr>
              <w:t>Briefing in December (74 of 80); refresher on 26 January 2027 (71 of 79)</w:t>
            </w:r>
          </w:p>
        </w:tc>
      </w:tr>
      <w:tr>
        <w:tc>
          <w:tcPr>
            <w:tcW w:type="dxa" w:w="4933"/>
          </w:tcPr>
          <w:p>
            <w:r>
              <w:rPr>
                <w:sz w:val="16"/>
              </w:rPr>
              <w:t>Breach drill</w:t>
            </w:r>
          </w:p>
        </w:tc>
        <w:tc>
          <w:tcPr>
            <w:tcW w:type="dxa" w:w="4933"/>
          </w:tcPr>
          <w:p>
            <w:r>
              <w:rPr>
                <w:sz w:val="16"/>
              </w:rPr>
              <w:t>Tabletop on 21 January 2027 against B11; four lessons, one action (DA-14)</w:t>
            </w:r>
          </w:p>
        </w:tc>
      </w:tr>
    </w:tbl>
    <w:p/>
    <w:p>
      <w:r>
        <w:rPr/>
        <w:t>These are counts of what the sample documents contain. They are not results or outcomes.</w:t>
      </w:r>
    </w:p>
    <w:p>
      <w:r>
        <w:rPr>
          <w:b/>
        </w:rPr>
        <w:t>How to read the RAG ratings.</w:t>
      </w:r>
      <w:r>
        <w:rPr/>
        <w:t xml:space="preserve"> The ratings show progress against the B2 action plan. Green means the planned actions for that area are done and evidenced; it is not a statement that Quillmarrow is compliant.</w:t>
      </w:r>
    </w:p>
    <w:p>
      <w:pPr>
        <w:pStyle w:val="Heading2"/>
      </w:pPr>
      <w:r>
        <w:t>What is in this pack</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ID</w:t>
            </w:r>
          </w:p>
        </w:tc>
        <w:tc>
          <w:tcPr>
            <w:tcW w:type="dxa" w:w="3289"/>
            <w:shd w:val="clear" w:color="auto" w:fill="E9EDF1"/>
          </w:tcPr>
          <w:p>
            <w:r>
              <w:rPr>
                <w:b/>
                <w:sz w:val="16"/>
              </w:rPr>
              <w:t>Document</w:t>
            </w:r>
          </w:p>
        </w:tc>
        <w:tc>
          <w:tcPr>
            <w:tcW w:type="dxa" w:w="3289"/>
            <w:shd w:val="clear" w:color="auto" w:fill="E9EDF1"/>
          </w:tcPr>
          <w:p>
            <w:r>
              <w:rPr>
                <w:b/>
                <w:sz w:val="16"/>
              </w:rPr>
              <w:t>Client approver (role)</w:t>
            </w:r>
          </w:p>
        </w:tc>
      </w:tr>
      <w:tr>
        <w:tc>
          <w:tcPr>
            <w:tcW w:type="dxa" w:w="3289"/>
          </w:tcPr>
          <w:p>
            <w:r>
              <w:rPr>
                <w:sz w:val="16"/>
              </w:rPr>
              <w:t>C0</w:t>
            </w:r>
          </w:p>
        </w:tc>
        <w:tc>
          <w:tcPr>
            <w:tcW w:type="dxa" w:w="3289"/>
          </w:tcPr>
          <w:p>
            <w:r>
              <w:rPr>
                <w:sz w:val="16"/>
              </w:rPr>
              <w:t>Pack cover, contents and how to read it (this document)</w:t>
            </w:r>
          </w:p>
        </w:tc>
        <w:tc>
          <w:tcPr>
            <w:tcW w:type="dxa" w:w="3289"/>
          </w:tcPr>
          <w:p>
            <w:r>
              <w:rPr>
                <w:sz w:val="16"/>
              </w:rPr>
              <w:t>Managing Director (final pack)</w:t>
            </w:r>
          </w:p>
        </w:tc>
      </w:tr>
      <w:tr>
        <w:tc>
          <w:tcPr>
            <w:tcW w:type="dxa" w:w="3289"/>
          </w:tcPr>
          <w:p>
            <w:r>
              <w:rPr>
                <w:sz w:val="16"/>
              </w:rPr>
              <w:t>C1</w:t>
            </w:r>
          </w:p>
        </w:tc>
        <w:tc>
          <w:tcPr>
            <w:tcW w:type="dxa" w:w="3289"/>
          </w:tcPr>
          <w:p>
            <w:r>
              <w:rPr>
                <w:sz w:val="16"/>
              </w:rPr>
              <w:t>Monthly DPO check-in report: December 2026</w:t>
            </w:r>
          </w:p>
        </w:tc>
        <w:tc>
          <w:tcPr>
            <w:tcW w:type="dxa" w:w="3289"/>
          </w:tcPr>
          <w:p>
            <w:r>
              <w:rPr>
                <w:sz w:val="16"/>
              </w:rPr>
              <w:t>Head of Operations (DPO)</w:t>
            </w:r>
          </w:p>
        </w:tc>
      </w:tr>
      <w:tr>
        <w:tc>
          <w:tcPr>
            <w:tcW w:type="dxa" w:w="3289"/>
          </w:tcPr>
          <w:p>
            <w:r>
              <w:rPr>
                <w:sz w:val="16"/>
              </w:rPr>
              <w:t>C2</w:t>
            </w:r>
          </w:p>
        </w:tc>
        <w:tc>
          <w:tcPr>
            <w:tcW w:type="dxa" w:w="3289"/>
          </w:tcPr>
          <w:p>
            <w:r>
              <w:rPr>
                <w:sz w:val="16"/>
              </w:rPr>
              <w:t>Shared action tracker (with workbook)</w:t>
            </w:r>
          </w:p>
        </w:tc>
        <w:tc>
          <w:tcPr>
            <w:tcW w:type="dxa" w:w="3289"/>
          </w:tcPr>
          <w:p>
            <w:r>
              <w:rPr>
                <w:sz w:val="16"/>
              </w:rPr>
              <w:t>Head of Operations (DPO)</w:t>
            </w:r>
          </w:p>
        </w:tc>
      </w:tr>
      <w:tr>
        <w:tc>
          <w:tcPr>
            <w:tcW w:type="dxa" w:w="3289"/>
          </w:tcPr>
          <w:p>
            <w:r>
              <w:rPr>
                <w:sz w:val="16"/>
              </w:rPr>
              <w:t>C3</w:t>
            </w:r>
          </w:p>
        </w:tc>
        <w:tc>
          <w:tcPr>
            <w:tcW w:type="dxa" w:w="3289"/>
          </w:tcPr>
          <w:p>
            <w:r>
              <w:rPr>
                <w:sz w:val="16"/>
              </w:rPr>
              <w:t>Request and complaint log (with workbook)</w:t>
            </w:r>
          </w:p>
        </w:tc>
        <w:tc>
          <w:tcPr>
            <w:tcW w:type="dxa" w:w="3289"/>
          </w:tcPr>
          <w:p>
            <w:r>
              <w:rPr>
                <w:sz w:val="16"/>
              </w:rPr>
              <w:t>Head of Operations (DPO)</w:t>
            </w:r>
          </w:p>
        </w:tc>
      </w:tr>
      <w:tr>
        <w:tc>
          <w:tcPr>
            <w:tcW w:type="dxa" w:w="3289"/>
          </w:tcPr>
          <w:p>
            <w:r>
              <w:rPr>
                <w:sz w:val="16"/>
              </w:rPr>
              <w:t>C4</w:t>
            </w:r>
          </w:p>
        </w:tc>
        <w:tc>
          <w:tcPr>
            <w:tcW w:type="dxa" w:w="3289"/>
          </w:tcPr>
          <w:p>
            <w:r>
              <w:rPr>
                <w:sz w:val="16"/>
              </w:rPr>
              <w:t>Vendor review record: DV-04</w:t>
            </w:r>
          </w:p>
        </w:tc>
        <w:tc>
          <w:tcPr>
            <w:tcW w:type="dxa" w:w="3289"/>
          </w:tcPr>
          <w:p>
            <w:r>
              <w:rPr>
                <w:sz w:val="16"/>
              </w:rPr>
              <w:t>Head of Operations (DPO) decides; COO approves</w:t>
            </w:r>
          </w:p>
        </w:tc>
      </w:tr>
      <w:tr>
        <w:tc>
          <w:tcPr>
            <w:tcW w:type="dxa" w:w="3289"/>
          </w:tcPr>
          <w:p>
            <w:r>
              <w:rPr>
                <w:sz w:val="16"/>
              </w:rPr>
              <w:t>C5</w:t>
            </w:r>
          </w:p>
        </w:tc>
        <w:tc>
          <w:tcPr>
            <w:tcW w:type="dxa" w:w="3289"/>
          </w:tcPr>
          <w:p>
            <w:r>
              <w:rPr>
                <w:sz w:val="16"/>
              </w:rPr>
              <w:t>Policy and procedure change log (with workbook)</w:t>
            </w:r>
          </w:p>
        </w:tc>
        <w:tc>
          <w:tcPr>
            <w:tcW w:type="dxa" w:w="3289"/>
          </w:tcPr>
          <w:p>
            <w:r>
              <w:rPr>
                <w:sz w:val="16"/>
              </w:rPr>
              <w:t>Head of Operations (DPO)</w:t>
            </w:r>
          </w:p>
        </w:tc>
      </w:tr>
      <w:tr>
        <w:tc>
          <w:tcPr>
            <w:tcW w:type="dxa" w:w="3289"/>
          </w:tcPr>
          <w:p>
            <w:r>
              <w:rPr>
                <w:sz w:val="16"/>
              </w:rPr>
              <w:t>C6</w:t>
            </w:r>
          </w:p>
        </w:tc>
        <w:tc>
          <w:tcPr>
            <w:tcW w:type="dxa" w:w="3289"/>
          </w:tcPr>
          <w:p>
            <w:r>
              <w:rPr>
                <w:sz w:val="16"/>
              </w:rPr>
              <w:t>Staff refresher: session outline and attendance (with workbook)</w:t>
            </w:r>
          </w:p>
        </w:tc>
        <w:tc>
          <w:tcPr>
            <w:tcW w:type="dxa" w:w="3289"/>
          </w:tcPr>
          <w:p>
            <w:r>
              <w:rPr>
                <w:sz w:val="16"/>
              </w:rPr>
              <w:t>Head of Operations (DPO) with the HR Manager</w:t>
            </w:r>
          </w:p>
        </w:tc>
      </w:tr>
      <w:tr>
        <w:tc>
          <w:tcPr>
            <w:tcW w:type="dxa" w:w="3289"/>
          </w:tcPr>
          <w:p>
            <w:r>
              <w:rPr>
                <w:sz w:val="16"/>
              </w:rPr>
              <w:t>C7</w:t>
            </w:r>
          </w:p>
        </w:tc>
        <w:tc>
          <w:tcPr>
            <w:tcW w:type="dxa" w:w="3289"/>
          </w:tcPr>
          <w:p>
            <w:r>
              <w:rPr>
                <w:sz w:val="16"/>
              </w:rPr>
              <w:t>Breach drill record</w:t>
            </w:r>
          </w:p>
        </w:tc>
        <w:tc>
          <w:tcPr>
            <w:tcW w:type="dxa" w:w="3289"/>
          </w:tcPr>
          <w:p>
            <w:r>
              <w:rPr>
                <w:sz w:val="16"/>
              </w:rPr>
              <w:t>Head of Operations (DPO)</w:t>
            </w:r>
          </w:p>
        </w:tc>
      </w:tr>
      <w:tr>
        <w:tc>
          <w:tcPr>
            <w:tcW w:type="dxa" w:w="3289"/>
          </w:tcPr>
          <w:p>
            <w:r>
              <w:rPr>
                <w:sz w:val="16"/>
              </w:rPr>
              <w:t>C8</w:t>
            </w:r>
          </w:p>
        </w:tc>
        <w:tc>
          <w:tcPr>
            <w:tcW w:type="dxa" w:w="3289"/>
          </w:tcPr>
          <w:p>
            <w:r>
              <w:rPr>
                <w:sz w:val="16"/>
              </w:rPr>
              <w:t>Quarterly data protection report to management</w:t>
            </w:r>
          </w:p>
        </w:tc>
        <w:tc>
          <w:tcPr>
            <w:tcW w:type="dxa" w:w="3289"/>
          </w:tcPr>
          <w:p>
            <w:r>
              <w:rPr>
                <w:sz w:val="16"/>
              </w:rPr>
              <w:t>Managing Director</w:t>
            </w:r>
          </w:p>
        </w:tc>
      </w:tr>
    </w:tbl>
    <w:p/>
    <w:p>
      <w:pPr>
        <w:pStyle w:val="Heading2"/>
      </w:pPr>
      <w:r>
        <w:t>Files and formats</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Format</w:t>
            </w:r>
          </w:p>
        </w:tc>
        <w:tc>
          <w:tcPr>
            <w:tcW w:type="dxa" w:w="3289"/>
            <w:shd w:val="clear" w:color="auto" w:fill="E9EDF1"/>
          </w:tcPr>
          <w:p>
            <w:r>
              <w:rPr>
                <w:b/>
                <w:sz w:val="16"/>
              </w:rPr>
              <w:t>Documents</w:t>
            </w:r>
          </w:p>
        </w:tc>
        <w:tc>
          <w:tcPr>
            <w:tcW w:type="dxa" w:w="3289"/>
            <w:shd w:val="clear" w:color="auto" w:fill="E9EDF1"/>
          </w:tcPr>
          <w:p>
            <w:r>
              <w:rPr>
                <w:b/>
                <w:sz w:val="16"/>
              </w:rPr>
              <w:t>Use</w:t>
            </w:r>
          </w:p>
        </w:tc>
      </w:tr>
      <w:tr>
        <w:tc>
          <w:tcPr>
            <w:tcW w:type="dxa" w:w="3289"/>
          </w:tcPr>
          <w:p>
            <w:r>
              <w:rPr>
                <w:sz w:val="16"/>
              </w:rPr>
              <w:t>PDF</w:t>
            </w:r>
          </w:p>
        </w:tc>
        <w:tc>
          <w:tcPr>
            <w:tcW w:type="dxa" w:w="3289"/>
          </w:tcPr>
          <w:p>
            <w:r>
              <w:rPr>
                <w:sz w:val="16"/>
              </w:rPr>
              <w:t>C0 to C8</w:t>
            </w:r>
          </w:p>
        </w:tc>
        <w:tc>
          <w:tcPr>
            <w:tcW w:type="dxa" w:w="3289"/>
          </w:tcPr>
          <w:p>
            <w:r>
              <w:rPr>
                <w:sz w:val="16"/>
              </w:rPr>
              <w:t>Read-only copies for management and the record</w:t>
            </w:r>
          </w:p>
        </w:tc>
      </w:tr>
      <w:tr>
        <w:tc>
          <w:tcPr>
            <w:tcW w:type="dxa" w:w="3289"/>
          </w:tcPr>
          <w:p>
            <w:r>
              <w:rPr>
                <w:sz w:val="16"/>
              </w:rPr>
              <w:t>Word (DOCX)</w:t>
            </w:r>
          </w:p>
        </w:tc>
        <w:tc>
          <w:tcPr>
            <w:tcW w:type="dxa" w:w="3289"/>
          </w:tcPr>
          <w:p>
            <w:r>
              <w:rPr>
                <w:sz w:val="16"/>
              </w:rPr>
              <w:t>C0 to C8</w:t>
            </w:r>
          </w:p>
        </w:tc>
        <w:tc>
          <w:tcPr>
            <w:tcW w:type="dxa" w:w="3289"/>
          </w:tcPr>
          <w:p>
            <w:r>
              <w:rPr>
                <w:sz w:val="16"/>
              </w:rPr>
              <w:t>Editable copies for the DPO to update next month</w:t>
            </w:r>
          </w:p>
        </w:tc>
      </w:tr>
      <w:tr>
        <w:tc>
          <w:tcPr>
            <w:tcW w:type="dxa" w:w="3289"/>
          </w:tcPr>
          <w:p>
            <w:r>
              <w:rPr>
                <w:sz w:val="16"/>
              </w:rPr>
              <w:t>Excel (XLSX)</w:t>
            </w:r>
          </w:p>
        </w:tc>
        <w:tc>
          <w:tcPr>
            <w:tcW w:type="dxa" w:w="3289"/>
          </w:tcPr>
          <w:p>
            <w:r>
              <w:rPr>
                <w:sz w:val="16"/>
              </w:rPr>
              <w:t>C2 action tracker, C3 request log, C5 change log, C6 attendance</w:t>
            </w:r>
          </w:p>
        </w:tc>
        <w:tc>
          <w:tcPr>
            <w:tcW w:type="dxa" w:w="3289"/>
          </w:tcPr>
          <w:p>
            <w:r>
              <w:rPr>
                <w:sz w:val="16"/>
              </w:rPr>
              <w:t>The same registers as working spreadsheets</w:t>
            </w:r>
          </w:p>
        </w:tc>
      </w:tr>
    </w:tbl>
    <w:p/>
    <w:p>
      <w:r>
        <w:rPr/>
        <w:t>The Excel registers hold the same rows as the PDF and Word versions, at the 31 January 2027 snapshot.</w:t>
      </w:r>
    </w:p>
    <w:p>
      <w:pPr>
        <w:pStyle w:val="Heading2"/>
      </w:pPr>
      <w:r>
        <w:t>Decisions recorded on 12 February 2027</w:t>
      </w:r>
    </w:p>
    <w:p>
      <w:r>
        <w:rPr/>
        <w:t>The MD took all five decisions put to the quarterly meeting. C8 section 6 records each decision, who made it and the follow-up it set.</w:t>
      </w:r>
    </w:p>
    <w:p>
      <w:pPr>
        <w:pStyle w:val="Heading2"/>
      </w:pPr>
      <w:r>
        <w:t>How to read this pack</w:t>
      </w:r>
    </w:p>
    <w:p>
      <w:pPr>
        <w:pStyle w:val="ListNumber"/>
      </w:pPr>
      <w:r>
        <w:t xml:space="preserve">Start with the </w:t>
      </w:r>
      <w:r>
        <w:rPr>
          <w:b/>
        </w:rPr>
        <w:t>quarterly report (C8)</w:t>
      </w:r>
      <w:r>
        <w:t>. It is what the MD sees: the RAG view, open risks, the five decisions needed and the decisions made on 12 February 2027.</w:t>
      </w:r>
    </w:p>
    <w:p>
      <w:pPr>
        <w:pStyle w:val="ListNumber"/>
      </w:pPr>
      <w:r>
        <w:t xml:space="preserve">Read one </w:t>
      </w:r>
      <w:r>
        <w:rPr>
          <w:b/>
        </w:rPr>
        <w:t>monthly report (C1)</w:t>
      </w:r>
      <w:r>
        <w:t xml:space="preserve"> to see the rhythm of the service: what was done, what is late, and what was decided at the check-in.</w:t>
      </w:r>
    </w:p>
    <w:p>
      <w:pPr>
        <w:pStyle w:val="ListNumber"/>
      </w:pPr>
      <w:r>
        <w:t xml:space="preserve">Use the </w:t>
      </w:r>
      <w:r>
        <w:rPr>
          <w:b/>
        </w:rPr>
        <w:t>action tracker (C2)</w:t>
      </w:r>
      <w:r>
        <w:t xml:space="preserve"> and the </w:t>
      </w:r>
      <w:r>
        <w:rPr>
          <w:b/>
        </w:rPr>
        <w:t>request log (C3)</w:t>
      </w:r>
      <w:r>
        <w:t xml:space="preserve"> as the working records behind both reports.</w:t>
      </w:r>
    </w:p>
    <w:p>
      <w:pPr>
        <w:pStyle w:val="ListNumber"/>
      </w:pPr>
      <w:r>
        <w:t xml:space="preserve">Read the </w:t>
      </w:r>
      <w:r>
        <w:rPr>
          <w:b/>
        </w:rPr>
        <w:t>vendor review (C4)</w:t>
      </w:r>
      <w:r>
        <w:t xml:space="preserve"> and the </w:t>
      </w:r>
      <w:r>
        <w:rPr>
          <w:b/>
        </w:rPr>
        <w:t>breach drill (C7)</w:t>
      </w:r>
      <w:r>
        <w:t xml:space="preserve"> to see how a new vendor and a suspected breach are handled, with decisions kept with Quillmarrow.</w:t>
      </w:r>
    </w:p>
    <w:p>
      <w:pPr>
        <w:pStyle w:val="ListNumber"/>
      </w:pPr>
      <w:r>
        <w:t xml:space="preserve">The </w:t>
      </w:r>
      <w:r>
        <w:rPr>
          <w:b/>
        </w:rPr>
        <w:t>change log (C5)</w:t>
      </w:r>
      <w:r>
        <w:t xml:space="preserve"> and the </w:t>
      </w:r>
      <w:r>
        <w:rPr>
          <w:b/>
        </w:rPr>
        <w:t>refresher (C6)</w:t>
      </w:r>
      <w:r>
        <w:t xml:space="preserve"> show how changes reach staff.</w:t>
      </w:r>
    </w:p>
    <w:p>
      <w:pPr>
        <w:pStyle w:val="Heading2"/>
      </w:pPr>
      <w:r>
        <w:t>How the monthly rhythm works</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When</w:t>
            </w:r>
          </w:p>
        </w:tc>
        <w:tc>
          <w:tcPr>
            <w:tcW w:type="dxa" w:w="3289"/>
            <w:shd w:val="clear" w:color="auto" w:fill="E9EDF1"/>
          </w:tcPr>
          <w:p>
            <w:r>
              <w:rPr>
                <w:b/>
                <w:sz w:val="16"/>
              </w:rPr>
              <w:t>What happens</w:t>
            </w:r>
          </w:p>
        </w:tc>
        <w:tc>
          <w:tcPr>
            <w:tcW w:type="dxa" w:w="3289"/>
            <w:shd w:val="clear" w:color="auto" w:fill="E9EDF1"/>
          </w:tcPr>
          <w:p>
            <w:r>
              <w:rPr>
                <w:b/>
                <w:sz w:val="16"/>
              </w:rPr>
              <w:t>Who</w:t>
            </w:r>
          </w:p>
        </w:tc>
      </w:tr>
      <w:tr>
        <w:tc>
          <w:tcPr>
            <w:tcW w:type="dxa" w:w="3289"/>
          </w:tcPr>
          <w:p>
            <w:r>
              <w:rPr>
                <w:sz w:val="16"/>
              </w:rPr>
              <w:t>During the month</w:t>
            </w:r>
          </w:p>
        </w:tc>
        <w:tc>
          <w:tcPr>
            <w:tcW w:type="dxa" w:w="3289"/>
          </w:tcPr>
          <w:p>
            <w:r>
              <w:rPr>
                <w:sz w:val="16"/>
              </w:rPr>
              <w:t>Owners update the tracker (C2) and the request log (C3); the DPO keeps the incident record and the change log (C5)</w:t>
            </w:r>
          </w:p>
        </w:tc>
        <w:tc>
          <w:tcPr>
            <w:tcW w:type="dxa" w:w="3289"/>
          </w:tcPr>
          <w:p>
            <w:r>
              <w:rPr>
                <w:sz w:val="16"/>
              </w:rPr>
              <w:t>DPO and owners</w:t>
            </w:r>
          </w:p>
        </w:tc>
      </w:tr>
      <w:tr>
        <w:tc>
          <w:tcPr>
            <w:tcW w:type="dxa" w:w="3289"/>
          </w:tcPr>
          <w:p>
            <w:r>
              <w:rPr>
                <w:sz w:val="16"/>
              </w:rPr>
              <w:t>Monthly check-in</w:t>
            </w:r>
          </w:p>
        </w:tc>
        <w:tc>
          <w:tcPr>
            <w:tcW w:type="dxa" w:w="3289"/>
          </w:tcPr>
          <w:p>
            <w:r>
              <w:rPr>
                <w:sz w:val="16"/>
              </w:rPr>
              <w:t>60-minute video call: 4 December 2026, 8 January 2027 and 5 February 2027. The monthly report (C1) records what was done, what is late and what was decided</w:t>
            </w:r>
          </w:p>
        </w:tc>
        <w:tc>
          <w:tcPr>
            <w:tcW w:type="dxa" w:w="3289"/>
          </w:tcPr>
          <w:p>
            <w:r>
              <w:rPr>
                <w:sz w:val="16"/>
              </w:rPr>
              <w:t>DPO with the reviewer; COO joins for decisions</w:t>
            </w:r>
          </w:p>
        </w:tc>
      </w:tr>
      <w:tr>
        <w:tc>
          <w:tcPr>
            <w:tcW w:type="dxa" w:w="3289"/>
          </w:tcPr>
          <w:p>
            <w:r>
              <w:rPr>
                <w:sz w:val="16"/>
              </w:rPr>
              <w:t>Quarterly</w:t>
            </w:r>
          </w:p>
        </w:tc>
        <w:tc>
          <w:tcPr>
            <w:tcW w:type="dxa" w:w="3289"/>
          </w:tcPr>
          <w:p>
            <w:r>
              <w:rPr>
                <w:sz w:val="16"/>
              </w:rPr>
              <w:t>Report (C8) prepared on 9 February 2027 and presented on 12 February 2027; the MD records the decisions</w:t>
            </w:r>
          </w:p>
        </w:tc>
        <w:tc>
          <w:tcPr>
            <w:tcW w:type="dxa" w:w="3289"/>
          </w:tcPr>
          <w:p>
            <w:r>
              <w:rPr>
                <w:sz w:val="16"/>
              </w:rPr>
              <w:t>DPO prepares with the reviewer; MD decides</w:t>
            </w:r>
          </w:p>
        </w:tc>
      </w:tr>
      <w:tr>
        <w:tc>
          <w:tcPr>
            <w:tcW w:type="dxa" w:w="3289"/>
          </w:tcPr>
          <w:p>
            <w:r>
              <w:rPr>
                <w:sz w:val="16"/>
              </w:rPr>
              <w:t>Breach drill</w:t>
            </w:r>
          </w:p>
        </w:tc>
        <w:tc>
          <w:tcPr>
            <w:tcW w:type="dxa" w:w="3289"/>
          </w:tcPr>
          <w:p>
            <w:r>
              <w:rPr>
                <w:sz w:val="16"/>
              </w:rPr>
              <w:t>Tabletop on 21 January 2027 (C7); next drill planned for July 2027</w:t>
            </w:r>
          </w:p>
        </w:tc>
        <w:tc>
          <w:tcPr>
            <w:tcW w:type="dxa" w:w="3289"/>
          </w:tcPr>
          <w:p>
            <w:r>
              <w:rPr>
                <w:sz w:val="16"/>
              </w:rPr>
              <w:t>DPO leads; MD joins for the decision step</w:t>
            </w:r>
          </w:p>
        </w:tc>
      </w:tr>
    </w:tbl>
    <w:p/>
    <w:p>
      <w:pPr>
        <w:pStyle w:val="Heading2"/>
      </w:pPr>
      <w:r>
        <w:t>What ran late</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Item</w:t>
            </w:r>
          </w:p>
        </w:tc>
        <w:tc>
          <w:tcPr>
            <w:tcW w:type="dxa" w:w="2466"/>
            <w:shd w:val="clear" w:color="auto" w:fill="E9EDF1"/>
          </w:tcPr>
          <w:p>
            <w:r>
              <w:rPr>
                <w:b/>
                <w:sz w:val="16"/>
              </w:rPr>
              <w:t>Original date</w:t>
            </w:r>
          </w:p>
        </w:tc>
        <w:tc>
          <w:tcPr>
            <w:tcW w:type="dxa" w:w="2466"/>
            <w:shd w:val="clear" w:color="auto" w:fill="E9EDF1"/>
          </w:tcPr>
          <w:p>
            <w:r>
              <w:rPr>
                <w:b/>
                <w:sz w:val="16"/>
              </w:rPr>
              <w:t>What happened</w:t>
            </w:r>
          </w:p>
        </w:tc>
        <w:tc>
          <w:tcPr>
            <w:tcW w:type="dxa" w:w="2466"/>
            <w:shd w:val="clear" w:color="auto" w:fill="E9EDF1"/>
          </w:tcPr>
          <w:p>
            <w:r>
              <w:rPr>
                <w:b/>
                <w:sz w:val="16"/>
              </w:rPr>
              <w:t>Where</w:t>
            </w:r>
          </w:p>
        </w:tc>
      </w:tr>
      <w:tr>
        <w:tc>
          <w:tcPr>
            <w:tcW w:type="dxa" w:w="2466"/>
          </w:tcPr>
          <w:p>
            <w:r>
              <w:rPr>
                <w:sz w:val="16"/>
              </w:rPr>
              <w:t>Showroom consent record method (DA-02)</w:t>
            </w:r>
          </w:p>
        </w:tc>
        <w:tc>
          <w:tcPr>
            <w:tcW w:type="dxa" w:w="2466"/>
          </w:tcPr>
          <w:p>
            <w:r>
              <w:rPr>
                <w:sz w:val="16"/>
              </w:rPr>
              <w:t>13 Nov 2026</w:t>
            </w:r>
          </w:p>
        </w:tc>
        <w:tc>
          <w:tcPr>
            <w:tcW w:type="dxa" w:w="2466"/>
          </w:tcPr>
          <w:p>
            <w:r>
              <w:rPr>
                <w:sz w:val="16"/>
              </w:rPr>
              <w:t>Revised to 4 Dec 2026; closed 2 Dec 2026</w:t>
            </w:r>
          </w:p>
        </w:tc>
        <w:tc>
          <w:tcPr>
            <w:tcW w:type="dxa" w:w="2466"/>
          </w:tcPr>
          <w:p>
            <w:r>
              <w:rPr>
                <w:sz w:val="16"/>
              </w:rPr>
              <w:t>C2</w:t>
            </w:r>
          </w:p>
        </w:tc>
      </w:tr>
      <w:tr>
        <w:tc>
          <w:tcPr>
            <w:tcW w:type="dxa" w:w="2466"/>
          </w:tcPr>
          <w:p>
            <w:r>
              <w:rPr>
                <w:sz w:val="16"/>
              </w:rPr>
              <w:t>Notices for job applications, showroom and CCTV (DA-04)</w:t>
            </w:r>
          </w:p>
        </w:tc>
        <w:tc>
          <w:tcPr>
            <w:tcW w:type="dxa" w:w="2466"/>
          </w:tcPr>
          <w:p>
            <w:r>
              <w:rPr>
                <w:sz w:val="16"/>
              </w:rPr>
              <w:t>13 Nov 2026</w:t>
            </w:r>
          </w:p>
        </w:tc>
        <w:tc>
          <w:tcPr>
            <w:tcW w:type="dxa" w:w="2466"/>
          </w:tcPr>
          <w:p>
            <w:r>
              <w:rPr>
                <w:sz w:val="16"/>
              </w:rPr>
              <w:t>Revised to 11 Dec 2026; closed 9 Dec 2026</w:t>
            </w:r>
          </w:p>
        </w:tc>
        <w:tc>
          <w:tcPr>
            <w:tcW w:type="dxa" w:w="2466"/>
          </w:tcPr>
          <w:p>
            <w:r>
              <w:rPr>
                <w:sz w:val="16"/>
              </w:rPr>
              <w:t>C2, C5</w:t>
            </w:r>
          </w:p>
        </w:tc>
      </w:tr>
      <w:tr>
        <w:tc>
          <w:tcPr>
            <w:tcW w:type="dxa" w:w="2466"/>
          </w:tcPr>
          <w:p>
            <w:r>
              <w:rPr>
                <w:sz w:val="16"/>
              </w:rPr>
              <w:t>ShopCloud admin MFA (DA-06)</w:t>
            </w:r>
          </w:p>
        </w:tc>
        <w:tc>
          <w:tcPr>
            <w:tcW w:type="dxa" w:w="2466"/>
          </w:tcPr>
          <w:p>
            <w:r>
              <w:rPr>
                <w:sz w:val="16"/>
              </w:rPr>
              <w:t>13 Nov 2026</w:t>
            </w:r>
          </w:p>
        </w:tc>
        <w:tc>
          <w:tcPr>
            <w:tcW w:type="dxa" w:w="2466"/>
          </w:tcPr>
          <w:p>
            <w:r>
              <w:rPr>
                <w:sz w:val="16"/>
              </w:rPr>
              <w:t>Closed 19 Nov 2026, late</w:t>
            </w:r>
          </w:p>
        </w:tc>
        <w:tc>
          <w:tcPr>
            <w:tcW w:type="dxa" w:w="2466"/>
          </w:tcPr>
          <w:p>
            <w:r>
              <w:rPr>
                <w:sz w:val="16"/>
              </w:rPr>
              <w:t>C2</w:t>
            </w:r>
          </w:p>
        </w:tc>
      </w:tr>
      <w:tr>
        <w:tc>
          <w:tcPr>
            <w:tcW w:type="dxa" w:w="2466"/>
          </w:tcPr>
          <w:p>
            <w:r>
              <w:rPr>
                <w:sz w:val="16"/>
              </w:rPr>
              <w:t>Harbour IT admin access review (DA-07)</w:t>
            </w:r>
          </w:p>
        </w:tc>
        <w:tc>
          <w:tcPr>
            <w:tcW w:type="dxa" w:w="2466"/>
          </w:tcPr>
          <w:p>
            <w:r>
              <w:rPr>
                <w:sz w:val="16"/>
              </w:rPr>
              <w:t>13 Nov 2026</w:t>
            </w:r>
          </w:p>
        </w:tc>
        <w:tc>
          <w:tcPr>
            <w:tcW w:type="dxa" w:w="2466"/>
          </w:tcPr>
          <w:p>
            <w:r>
              <w:rPr>
                <w:sz w:val="16"/>
              </w:rPr>
              <w:t>Revised to 31 Jan 2027; closed 22 Jan 2027</w:t>
            </w:r>
          </w:p>
        </w:tc>
        <w:tc>
          <w:tcPr>
            <w:tcW w:type="dxa" w:w="2466"/>
          </w:tcPr>
          <w:p>
            <w:r>
              <w:rPr>
                <w:sz w:val="16"/>
              </w:rPr>
              <w:t>C2</w:t>
            </w:r>
          </w:p>
        </w:tc>
      </w:tr>
      <w:tr>
        <w:tc>
          <w:tcPr>
            <w:tcW w:type="dxa" w:w="2466"/>
          </w:tcPr>
          <w:p>
            <w:r>
              <w:rPr>
                <w:sz w:val="16"/>
              </w:rPr>
              <w:t>B8 retention decisions</w:t>
            </w:r>
          </w:p>
        </w:tc>
        <w:tc>
          <w:tcPr>
            <w:tcW w:type="dxa" w:w="2466"/>
          </w:tcPr>
          <w:p>
            <w:r>
              <w:rPr>
                <w:sz w:val="16"/>
              </w:rPr>
              <w:t>15 Dec 2026</w:t>
            </w:r>
          </w:p>
        </w:tc>
        <w:tc>
          <w:tcPr>
            <w:tcW w:type="dxa" w:w="2466"/>
          </w:tcPr>
          <w:p>
            <w:r>
              <w:rPr>
                <w:sz w:val="16"/>
              </w:rPr>
              <w:t>Approved 18 Dec 2026, 3 days late, except RS-02, RS-12 and RS-13</w:t>
            </w:r>
          </w:p>
        </w:tc>
        <w:tc>
          <w:tcPr>
            <w:tcW w:type="dxa" w:w="2466"/>
          </w:tcPr>
          <w:p>
            <w:r>
              <w:rPr>
                <w:sz w:val="16"/>
              </w:rPr>
              <w:t>C5, C8</w:t>
            </w:r>
          </w:p>
        </w:tc>
      </w:tr>
      <w:tr>
        <w:tc>
          <w:tcPr>
            <w:tcW w:type="dxa" w:w="2466"/>
          </w:tcPr>
          <w:p>
            <w:r>
              <w:rPr>
                <w:sz w:val="16"/>
              </w:rPr>
              <w:t>AR-13 acknowledgement</w:t>
            </w:r>
          </w:p>
        </w:tc>
        <w:tc>
          <w:tcPr>
            <w:tcW w:type="dxa" w:w="2466"/>
          </w:tcPr>
          <w:p>
            <w:r>
              <w:rPr>
                <w:sz w:val="16"/>
              </w:rPr>
              <w:t>3 working days</w:t>
            </w:r>
          </w:p>
        </w:tc>
        <w:tc>
          <w:tcPr>
            <w:tcW w:type="dxa" w:w="2466"/>
          </w:tcPr>
          <w:p>
            <w:r>
              <w:rPr>
                <w:sz w:val="16"/>
              </w:rPr>
              <w:t>Acknowledged in 5 working days; the response itself was on target</w:t>
            </w:r>
          </w:p>
        </w:tc>
        <w:tc>
          <w:tcPr>
            <w:tcW w:type="dxa" w:w="2466"/>
          </w:tcPr>
          <w:p>
            <w:r>
              <w:rPr>
                <w:sz w:val="16"/>
              </w:rPr>
              <w:t>C3</w:t>
            </w:r>
          </w:p>
        </w:tc>
      </w:tr>
      <w:tr>
        <w:tc>
          <w:tcPr>
            <w:tcW w:type="dxa" w:w="2466"/>
          </w:tcPr>
          <w:p>
            <w:r>
              <w:rPr>
                <w:sz w:val="16"/>
              </w:rPr>
              <w:t>Retention decisions for RS-02, RS-12, RS-13 (DA-08)</w:t>
            </w:r>
          </w:p>
        </w:tc>
        <w:tc>
          <w:tcPr>
            <w:tcW w:type="dxa" w:w="2466"/>
          </w:tcPr>
          <w:p>
            <w:r>
              <w:rPr>
                <w:sz w:val="16"/>
              </w:rPr>
              <w:t>31 Jan 2027</w:t>
            </w:r>
          </w:p>
        </w:tc>
        <w:tc>
          <w:tcPr>
            <w:tcW w:type="dxa" w:w="2466"/>
          </w:tcPr>
          <w:p>
            <w:r>
              <w:rPr>
                <w:sz w:val="16"/>
              </w:rPr>
              <w:t>Overdue at the snapshot; decided by the MD on 12 Feb 2027</w:t>
            </w:r>
          </w:p>
        </w:tc>
        <w:tc>
          <w:tcPr>
            <w:tcW w:type="dxa" w:w="2466"/>
          </w:tcPr>
          <w:p>
            <w:r>
              <w:rPr>
                <w:sz w:val="16"/>
              </w:rPr>
              <w:t>C2, C8</w:t>
            </w:r>
          </w:p>
        </w:tc>
      </w:tr>
      <w:tr>
        <w:tc>
          <w:tcPr>
            <w:tcW w:type="dxa" w:w="2466"/>
          </w:tcPr>
          <w:p>
            <w:r>
              <w:rPr>
                <w:sz w:val="16"/>
              </w:rPr>
              <w:t>DV-01 addendum (DA-10)</w:t>
            </w:r>
          </w:p>
        </w:tc>
        <w:tc>
          <w:tcPr>
            <w:tcW w:type="dxa" w:w="2466"/>
          </w:tcPr>
          <w:p>
            <w:r>
              <w:rPr>
                <w:sz w:val="16"/>
              </w:rPr>
              <w:t>15 Dec 2026</w:t>
            </w:r>
          </w:p>
        </w:tc>
        <w:tc>
          <w:tcPr>
            <w:tcW w:type="dxa" w:w="2466"/>
          </w:tcPr>
          <w:p>
            <w:r>
              <w:rPr>
                <w:sz w:val="16"/>
              </w:rPr>
              <w:t>Revised to 31 Jan 2027; overdue at the snapshot</w:t>
            </w:r>
          </w:p>
        </w:tc>
        <w:tc>
          <w:tcPr>
            <w:tcW w:type="dxa" w:w="2466"/>
          </w:tcPr>
          <w:p>
            <w:r>
              <w:rPr>
                <w:sz w:val="16"/>
              </w:rPr>
              <w:t>C2, C8</w:t>
            </w:r>
          </w:p>
        </w:tc>
      </w:tr>
    </w:tbl>
    <w:p/>
    <w:p>
      <w:pPr>
        <w:pStyle w:val="Heading2"/>
      </w:pPr>
      <w:r>
        <w:t>Open risks and what happens next</w:t>
      </w:r>
    </w:p>
    <w:p>
      <w:r>
        <w:rPr/>
        <w:t>Three areas stayed Amber at 31 January 2027. Each has an owner and a dated next step.</w:t>
      </w:r>
    </w:p>
    <w:tbl>
      <w:tblPr>
        <w:tblStyle w:val="TableGrid"/>
        <w:tblW w:type="auto" w:w="0"/>
        <w:tblLook w:firstColumn="1" w:firstRow="1" w:lastColumn="0" w:lastRow="0" w:noHBand="0" w:noVBand="1" w:val="04A0"/>
      </w:tblPr>
      <w:tblGrid>
        <w:gridCol w:w="2466"/>
        <w:gridCol w:w="2466"/>
        <w:gridCol w:w="2466"/>
        <w:gridCol w:w="2466"/>
      </w:tblGrid>
      <w:tr>
        <w:trPr>
          <w:tblHeader w:val="true"/>
        </w:trPr>
        <w:tc>
          <w:tcPr>
            <w:tcW w:type="dxa" w:w="2466"/>
            <w:shd w:val="clear" w:color="auto" w:fill="E9EDF1"/>
          </w:tcPr>
          <w:p>
            <w:r>
              <w:rPr>
                <w:b/>
                <w:sz w:val="16"/>
              </w:rPr>
              <w:t>Open risk</w:t>
            </w:r>
          </w:p>
        </w:tc>
        <w:tc>
          <w:tcPr>
            <w:tcW w:type="dxa" w:w="2466"/>
            <w:shd w:val="clear" w:color="auto" w:fill="E9EDF1"/>
          </w:tcPr>
          <w:p>
            <w:r>
              <w:rPr>
                <w:b/>
                <w:sz w:val="16"/>
              </w:rPr>
              <w:t>Ref</w:t>
            </w:r>
          </w:p>
        </w:tc>
        <w:tc>
          <w:tcPr>
            <w:tcW w:type="dxa" w:w="2466"/>
            <w:shd w:val="clear" w:color="auto" w:fill="E9EDF1"/>
          </w:tcPr>
          <w:p>
            <w:r>
              <w:rPr>
                <w:b/>
                <w:sz w:val="16"/>
              </w:rPr>
              <w:t>Owner</w:t>
            </w:r>
          </w:p>
        </w:tc>
        <w:tc>
          <w:tcPr>
            <w:tcW w:type="dxa" w:w="2466"/>
            <w:shd w:val="clear" w:color="auto" w:fill="E9EDF1"/>
          </w:tcPr>
          <w:p>
            <w:r>
              <w:rPr>
                <w:b/>
                <w:sz w:val="16"/>
              </w:rPr>
              <w:t>Next step</w:t>
            </w:r>
          </w:p>
        </w:tc>
      </w:tr>
      <w:tr>
        <w:tc>
          <w:tcPr>
            <w:tcW w:type="dxa" w:w="2466"/>
          </w:tcPr>
          <w:p>
            <w:r>
              <w:rPr>
                <w:sz w:val="16"/>
              </w:rPr>
              <w:t>About 600 older showroom sign-ups without consent records</w:t>
            </w:r>
          </w:p>
        </w:tc>
        <w:tc>
          <w:tcPr>
            <w:tcW w:type="dxa" w:w="2466"/>
          </w:tcPr>
          <w:p>
            <w:r>
              <w:rPr>
                <w:sz w:val="16"/>
              </w:rPr>
              <w:t>G-02; DA-03</w:t>
            </w:r>
          </w:p>
        </w:tc>
        <w:tc>
          <w:tcPr>
            <w:tcW w:type="dxa" w:w="2466"/>
          </w:tcPr>
          <w:p>
            <w:r>
              <w:rPr>
                <w:sz w:val="16"/>
              </w:rPr>
              <w:t>MD with the DPO; Head of Marketing keeps them suppressed</w:t>
            </w:r>
          </w:p>
        </w:tc>
        <w:tc>
          <w:tcPr>
            <w:tcW w:type="dxa" w:w="2466"/>
          </w:tcPr>
          <w:p>
            <w:r>
              <w:rPr>
                <w:sz w:val="16"/>
              </w:rPr>
              <w:t>Delete by 31 March 2027, as the MD decided</w:t>
            </w:r>
          </w:p>
        </w:tc>
      </w:tr>
      <w:tr>
        <w:tc>
          <w:tcPr>
            <w:tcW w:type="dxa" w:w="2466"/>
          </w:tcPr>
          <w:p>
            <w:r>
              <w:rPr>
                <w:sz w:val="16"/>
              </w:rPr>
              <w:t>Retention positions for RS-02, RS-12 and RS-13 not approved at the snapshot</w:t>
            </w:r>
          </w:p>
        </w:tc>
        <w:tc>
          <w:tcPr>
            <w:tcW w:type="dxa" w:w="2466"/>
          </w:tcPr>
          <w:p>
            <w:r>
              <w:rPr>
                <w:sz w:val="16"/>
              </w:rPr>
              <w:t>G-08; DA-08</w:t>
            </w:r>
          </w:p>
        </w:tc>
        <w:tc>
          <w:tcPr>
            <w:tcW w:type="dxa" w:w="2466"/>
          </w:tcPr>
          <w:p>
            <w:r>
              <w:rPr>
                <w:sz w:val="16"/>
              </w:rPr>
              <w:t>DPO with the Finance Director</w:t>
            </w:r>
          </w:p>
        </w:tc>
        <w:tc>
          <w:tcPr>
            <w:tcW w:type="dxa" w:w="2466"/>
          </w:tcPr>
          <w:p>
            <w:r>
              <w:rPr>
                <w:sz w:val="16"/>
              </w:rPr>
              <w:t>B8 v1.2 by 28 February 2027</w:t>
            </w:r>
          </w:p>
        </w:tc>
      </w:tr>
      <w:tr>
        <w:tc>
          <w:tcPr>
            <w:tcW w:type="dxa" w:w="2466"/>
          </w:tcPr>
          <w:p>
            <w:r>
              <w:rPr>
                <w:sz w:val="16"/>
              </w:rPr>
              <w:t>DV-01 data protection addendum unsigned</w:t>
            </w:r>
          </w:p>
        </w:tc>
        <w:tc>
          <w:tcPr>
            <w:tcW w:type="dxa" w:w="2466"/>
          </w:tcPr>
          <w:p>
            <w:r>
              <w:rPr>
                <w:sz w:val="16"/>
              </w:rPr>
              <w:t>G-09; DA-10</w:t>
            </w:r>
          </w:p>
        </w:tc>
        <w:tc>
          <w:tcPr>
            <w:tcW w:type="dxa" w:w="2466"/>
          </w:tcPr>
          <w:p>
            <w:r>
              <w:rPr>
                <w:sz w:val="16"/>
              </w:rPr>
              <w:t>COO</w:t>
            </w:r>
          </w:p>
        </w:tc>
        <w:tc>
          <w:tcPr>
            <w:tcW w:type="dxa" w:w="2466"/>
          </w:tcPr>
          <w:p>
            <w:r>
              <w:rPr>
                <w:sz w:val="16"/>
              </w:rPr>
              <w:t>Signed by 31 March 2027, or the COO brings alternatives</w:t>
            </w:r>
          </w:p>
        </w:tc>
      </w:tr>
    </w:tbl>
    <w:p/>
    <w:p>
      <w:r>
        <w:rPr/>
        <w:t>Other next-quarter work: DV-04 conditions confirmed before 1 March 2027 (DA-13), refresher catch-ups by 26 February 2027 (DA-15), the RS-10 visitor-log clean-up by 28 February 2027 (DA-09), planning the annual policy review, and the next breach drill in July 2027. Check-ins are planned for 5 March and 2 April 2027.</w:t>
      </w:r>
    </w:p>
    <w:p>
      <w:pPr>
        <w:pStyle w:val="Heading2"/>
      </w:pPr>
      <w:r>
        <w:t>Reference IDs used in this pack</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Prefix</w:t>
            </w:r>
          </w:p>
        </w:tc>
        <w:tc>
          <w:tcPr>
            <w:tcW w:type="dxa" w:w="3289"/>
            <w:shd w:val="clear" w:color="auto" w:fill="E9EDF1"/>
          </w:tcPr>
          <w:p>
            <w:r>
              <w:rPr>
                <w:b/>
                <w:sz w:val="16"/>
              </w:rPr>
              <w:t>Meaning</w:t>
            </w:r>
          </w:p>
        </w:tc>
        <w:tc>
          <w:tcPr>
            <w:tcW w:type="dxa" w:w="3289"/>
            <w:shd w:val="clear" w:color="auto" w:fill="E9EDF1"/>
          </w:tcPr>
          <w:p>
            <w:r>
              <w:rPr>
                <w:b/>
                <w:sz w:val="16"/>
              </w:rPr>
              <w:t>Where it is kept</w:t>
            </w:r>
          </w:p>
        </w:tc>
      </w:tr>
      <w:tr>
        <w:tc>
          <w:tcPr>
            <w:tcW w:type="dxa" w:w="3289"/>
          </w:tcPr>
          <w:p>
            <w:r>
              <w:rPr>
                <w:sz w:val="16"/>
              </w:rPr>
              <w:t>B1 to B16</w:t>
            </w:r>
          </w:p>
        </w:tc>
        <w:tc>
          <w:tcPr>
            <w:tcW w:type="dxa" w:w="3289"/>
          </w:tcPr>
          <w:p>
            <w:r>
              <w:rPr>
                <w:sz w:val="16"/>
              </w:rPr>
              <w:t>Documents from the October 2026 PDPA programme (for example B7 access and correction procedure, B8 retention schedule, B11 breach response plan)</w:t>
            </w:r>
          </w:p>
        </w:tc>
        <w:tc>
          <w:tcPr>
            <w:tcW w:type="dxa" w:w="3289"/>
          </w:tcPr>
          <w:p>
            <w:r>
              <w:rPr>
                <w:sz w:val="16"/>
              </w:rPr>
              <w:t>Quillmarrow's policy folder</w:t>
            </w:r>
          </w:p>
        </w:tc>
      </w:tr>
      <w:tr>
        <w:tc>
          <w:tcPr>
            <w:tcW w:type="dxa" w:w="3289"/>
          </w:tcPr>
          <w:p>
            <w:r>
              <w:rPr>
                <w:sz w:val="16"/>
              </w:rPr>
              <w:t>G-01 to G-11</w:t>
            </w:r>
          </w:p>
        </w:tc>
        <w:tc>
          <w:tcPr>
            <w:tcW w:type="dxa" w:w="3289"/>
          </w:tcPr>
          <w:p>
            <w:r>
              <w:rPr>
                <w:sz w:val="16"/>
              </w:rPr>
              <w:t>Review areas from the B2 gap assessment, rated Red, Amber or Green</w:t>
            </w:r>
          </w:p>
        </w:tc>
        <w:tc>
          <w:tcPr>
            <w:tcW w:type="dxa" w:w="3289"/>
          </w:tcPr>
          <w:p>
            <w:r>
              <w:rPr>
                <w:sz w:val="16"/>
              </w:rPr>
              <w:t>C1 and C8</w:t>
            </w:r>
          </w:p>
        </w:tc>
      </w:tr>
      <w:tr>
        <w:tc>
          <w:tcPr>
            <w:tcW w:type="dxa" w:w="3289"/>
          </w:tcPr>
          <w:p>
            <w:r>
              <w:rPr>
                <w:sz w:val="16"/>
              </w:rPr>
              <w:t>DA-</w:t>
            </w:r>
          </w:p>
        </w:tc>
        <w:tc>
          <w:tcPr>
            <w:tcW w:type="dxa" w:w="3289"/>
          </w:tcPr>
          <w:p>
            <w:r>
              <w:rPr>
                <w:sz w:val="16"/>
              </w:rPr>
              <w:t>Shared actions</w:t>
            </w:r>
          </w:p>
        </w:tc>
        <w:tc>
          <w:tcPr>
            <w:tcW w:type="dxa" w:w="3289"/>
          </w:tcPr>
          <w:p>
            <w:r>
              <w:rPr>
                <w:sz w:val="16"/>
              </w:rPr>
              <w:t>C2</w:t>
            </w:r>
          </w:p>
        </w:tc>
      </w:tr>
      <w:tr>
        <w:tc>
          <w:tcPr>
            <w:tcW w:type="dxa" w:w="3289"/>
          </w:tcPr>
          <w:p>
            <w:r>
              <w:rPr>
                <w:sz w:val="16"/>
              </w:rPr>
              <w:t>AR-</w:t>
            </w:r>
          </w:p>
        </w:tc>
        <w:tc>
          <w:tcPr>
            <w:tcW w:type="dxa" w:w="3289"/>
          </w:tcPr>
          <w:p>
            <w:r>
              <w:rPr>
                <w:sz w:val="16"/>
              </w:rPr>
              <w:t>Access, correction and complaint requests</w:t>
            </w:r>
          </w:p>
        </w:tc>
        <w:tc>
          <w:tcPr>
            <w:tcW w:type="dxa" w:w="3289"/>
          </w:tcPr>
          <w:p>
            <w:r>
              <w:rPr>
                <w:sz w:val="16"/>
              </w:rPr>
              <w:t>C3</w:t>
            </w:r>
          </w:p>
        </w:tc>
      </w:tr>
      <w:tr>
        <w:tc>
          <w:tcPr>
            <w:tcW w:type="dxa" w:w="3289"/>
          </w:tcPr>
          <w:p>
            <w:r>
              <w:rPr>
                <w:sz w:val="16"/>
              </w:rPr>
              <w:t>DV-</w:t>
            </w:r>
          </w:p>
        </w:tc>
        <w:tc>
          <w:tcPr>
            <w:tcW w:type="dxa" w:w="3289"/>
          </w:tcPr>
          <w:p>
            <w:r>
              <w:rPr>
                <w:sz w:val="16"/>
              </w:rPr>
              <w:t>Vendors that handle personal data</w:t>
            </w:r>
          </w:p>
        </w:tc>
        <w:tc>
          <w:tcPr>
            <w:tcW w:type="dxa" w:w="3289"/>
          </w:tcPr>
          <w:p>
            <w:r>
              <w:rPr>
                <w:sz w:val="16"/>
              </w:rPr>
              <w:t>C4 and the vendor register</w:t>
            </w:r>
          </w:p>
        </w:tc>
      </w:tr>
      <w:tr>
        <w:tc>
          <w:tcPr>
            <w:tcW w:type="dxa" w:w="3289"/>
          </w:tcPr>
          <w:p>
            <w:r>
              <w:rPr>
                <w:sz w:val="16"/>
              </w:rPr>
              <w:t>RS-</w:t>
            </w:r>
          </w:p>
        </w:tc>
        <w:tc>
          <w:tcPr>
            <w:tcW w:type="dxa" w:w="3289"/>
          </w:tcPr>
          <w:p>
            <w:r>
              <w:rPr>
                <w:sz w:val="16"/>
              </w:rPr>
              <w:t>Record types in the retention schedule</w:t>
            </w:r>
          </w:p>
        </w:tc>
        <w:tc>
          <w:tcPr>
            <w:tcW w:type="dxa" w:w="3289"/>
          </w:tcPr>
          <w:p>
            <w:r>
              <w:rPr>
                <w:sz w:val="16"/>
              </w:rPr>
              <w:t>B8</w:t>
            </w:r>
          </w:p>
        </w:tc>
      </w:tr>
      <w:tr>
        <w:tc>
          <w:tcPr>
            <w:tcW w:type="dxa" w:w="3289"/>
          </w:tcPr>
          <w:p>
            <w:r>
              <w:rPr>
                <w:sz w:val="16"/>
              </w:rPr>
              <w:t>PC-</w:t>
            </w:r>
          </w:p>
        </w:tc>
        <w:tc>
          <w:tcPr>
            <w:tcW w:type="dxa" w:w="3289"/>
          </w:tcPr>
          <w:p>
            <w:r>
              <w:rPr>
                <w:sz w:val="16"/>
              </w:rPr>
              <w:t>Policy and procedure changes</w:t>
            </w:r>
          </w:p>
        </w:tc>
        <w:tc>
          <w:tcPr>
            <w:tcW w:type="dxa" w:w="3289"/>
          </w:tcPr>
          <w:p>
            <w:r>
              <w:rPr>
                <w:sz w:val="16"/>
              </w:rPr>
              <w:t>C5</w:t>
            </w:r>
          </w:p>
        </w:tc>
      </w:tr>
      <w:tr>
        <w:tc>
          <w:tcPr>
            <w:tcW w:type="dxa" w:w="3289"/>
          </w:tcPr>
          <w:p>
            <w:r>
              <w:rPr>
                <w:sz w:val="16"/>
              </w:rPr>
              <w:t>INC-</w:t>
            </w:r>
          </w:p>
        </w:tc>
        <w:tc>
          <w:tcPr>
            <w:tcW w:type="dxa" w:w="3289"/>
          </w:tcPr>
          <w:p>
            <w:r>
              <w:rPr>
                <w:sz w:val="16"/>
              </w:rPr>
              <w:t>Incidents and suspected breaches</w:t>
            </w:r>
          </w:p>
        </w:tc>
        <w:tc>
          <w:tcPr>
            <w:tcW w:type="dxa" w:w="3289"/>
          </w:tcPr>
          <w:p>
            <w:r>
              <w:rPr>
                <w:sz w:val="16"/>
              </w:rPr>
              <w:t>Incident log; C1 and C7</w:t>
            </w:r>
          </w:p>
        </w:tc>
      </w:tr>
    </w:tbl>
    <w:p/>
    <w:p>
      <w:pPr>
        <w:pStyle w:val="Heading2"/>
      </w:pPr>
      <w:r>
        <w:t>Roles</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Role</w:t>
            </w:r>
          </w:p>
        </w:tc>
        <w:tc>
          <w:tcPr>
            <w:tcW w:type="dxa" w:w="4933"/>
            <w:shd w:val="clear" w:color="auto" w:fill="E9EDF1"/>
          </w:tcPr>
          <w:p>
            <w:r>
              <w:rPr>
                <w:b/>
                <w:sz w:val="16"/>
              </w:rPr>
              <w:t>Part in the monthly support</w:t>
            </w:r>
          </w:p>
        </w:tc>
      </w:tr>
      <w:tr>
        <w:tc>
          <w:tcPr>
            <w:tcW w:type="dxa" w:w="4933"/>
          </w:tcPr>
          <w:p>
            <w:r>
              <w:rPr>
                <w:sz w:val="16"/>
              </w:rPr>
              <w:t>Head of Operations</w:t>
            </w:r>
          </w:p>
        </w:tc>
        <w:tc>
          <w:tcPr>
            <w:tcW w:type="dxa" w:w="4933"/>
          </w:tcPr>
          <w:p>
            <w:r>
              <w:rPr>
                <w:sz w:val="16"/>
              </w:rPr>
              <w:t>Quillmarrow's appointed DPO; runs the programme, approves C1 to C7 and prepares C8 with the reviewer's support</w:t>
            </w:r>
          </w:p>
        </w:tc>
      </w:tr>
      <w:tr>
        <w:tc>
          <w:tcPr>
            <w:tcW w:type="dxa" w:w="4933"/>
          </w:tcPr>
          <w:p>
            <w:r>
              <w:rPr>
                <w:sz w:val="16"/>
              </w:rPr>
              <w:t>Managing Director (MD)</w:t>
            </w:r>
          </w:p>
        </w:tc>
        <w:tc>
          <w:tcPr>
            <w:tcW w:type="dxa" w:w="4933"/>
          </w:tcPr>
          <w:p>
            <w:r>
              <w:rPr>
                <w:sz w:val="16"/>
              </w:rPr>
              <w:t>Takes the quarterly decisions, approves the final pack and decides on notification with the DPO</w:t>
            </w:r>
          </w:p>
        </w:tc>
      </w:tr>
      <w:tr>
        <w:tc>
          <w:tcPr>
            <w:tcW w:type="dxa" w:w="4933"/>
          </w:tcPr>
          <w:p>
            <w:r>
              <w:rPr>
                <w:sz w:val="16"/>
              </w:rPr>
              <w:t>Chief Operating Officer (COO)</w:t>
            </w:r>
          </w:p>
        </w:tc>
        <w:tc>
          <w:tcPr>
            <w:tcW w:type="dxa" w:w="4933"/>
          </w:tcPr>
          <w:p>
            <w:r>
              <w:rPr>
                <w:sz w:val="16"/>
              </w:rPr>
              <w:t>Programme sponsor; joins check-ins when a decision is needed; approved the DPO's DV-04 pilot decision on 20 January 2027; follows up DA-10</w:t>
            </w:r>
          </w:p>
        </w:tc>
      </w:tr>
      <w:tr>
        <w:tc>
          <w:tcPr>
            <w:tcW w:type="dxa" w:w="4933"/>
          </w:tcPr>
          <w:p>
            <w:r>
              <w:rPr>
                <w:sz w:val="16"/>
              </w:rPr>
              <w:t>Action owners</w:t>
            </w:r>
          </w:p>
        </w:tc>
        <w:tc>
          <w:tcPr>
            <w:tcW w:type="dxa" w:w="4933"/>
          </w:tcPr>
          <w:p>
            <w:r>
              <w:rPr>
                <w:sz w:val="16"/>
              </w:rPr>
              <w:t>Update their actions in C2 and file the evidence</w:t>
            </w:r>
          </w:p>
        </w:tc>
      </w:tr>
      <w:tr>
        <w:tc>
          <w:tcPr>
            <w:tcW w:type="dxa" w:w="4933"/>
          </w:tcPr>
          <w:p>
            <w:r>
              <w:rPr>
                <w:sz w:val="16"/>
              </w:rPr>
              <w:t>Reviewer</w:t>
            </w:r>
          </w:p>
        </w:tc>
        <w:tc>
          <w:tcPr>
            <w:tcW w:type="dxa" w:w="4933"/>
          </w:tcPr>
          <w:p>
            <w:r>
              <w:rPr>
                <w:sz w:val="16"/>
              </w:rPr>
              <w:t>Supports the DPO with the monthly check-in, reviews of drafts and records, and the quarterly management report. Is not the DPO, makes no decisions for Quillmarrow and submits no notifications</w:t>
            </w:r>
          </w:p>
        </w:tc>
      </w:tr>
    </w:tbl>
    <w:p/>
    <w:p>
      <w:pPr>
        <w:pStyle w:val="Heading2"/>
      </w:pPr>
      <w:r>
        <w:t>The breach rule used throughout</w:t>
      </w:r>
    </w:p>
    <w:p>
      <w:r>
        <w:rPr/>
        <w:t>A breach is notifiable if it is likely to cause significant harm to the people affected, or affects 500 or more people. Quillmarrow assesses a suspected breach quickly and records when the assessment was completed. If a breach is notifiable, Quillmarrow tells the PDPC as soon as practicable and no later than 3 calendar days after assessing that it is notifiable. Where significant harm is likely, it tells the affected people as soon as practicable, on or after notifying the PDPC. A data intermediary tells Quillmarrow without undue delay. The assessment and the decision to notify are recorded separately. The public explanation is at alexlew.live/faq.html#faq-breach-deadlines.</w:t>
      </w:r>
    </w:p>
    <w:p>
      <w:pPr>
        <w:pStyle w:val="Heading2"/>
      </w:pPr>
      <w:r>
        <w:t>Approvals and status</w:t>
      </w:r>
    </w:p>
    <w:tbl>
      <w:tblPr>
        <w:tblStyle w:val="TableGrid"/>
        <w:tblW w:type="auto" w:w="0"/>
        <w:tblLook w:firstColumn="1" w:firstRow="1" w:lastColumn="0" w:lastRow="0" w:noHBand="0" w:noVBand="1" w:val="04A0"/>
      </w:tblPr>
      <w:tblGrid>
        <w:gridCol w:w="3289"/>
        <w:gridCol w:w="3289"/>
        <w:gridCol w:w="3289"/>
      </w:tblGrid>
      <w:tr>
        <w:trPr>
          <w:tblHeader w:val="true"/>
        </w:trPr>
        <w:tc>
          <w:tcPr>
            <w:tcW w:type="dxa" w:w="3289"/>
            <w:shd w:val="clear" w:color="auto" w:fill="E9EDF1"/>
          </w:tcPr>
          <w:p>
            <w:r>
              <w:rPr>
                <w:b/>
                <w:sz w:val="16"/>
              </w:rPr>
              <w:t>Item</w:t>
            </w:r>
          </w:p>
        </w:tc>
        <w:tc>
          <w:tcPr>
            <w:tcW w:type="dxa" w:w="3289"/>
            <w:shd w:val="clear" w:color="auto" w:fill="E9EDF1"/>
          </w:tcPr>
          <w:p>
            <w:r>
              <w:rPr>
                <w:b/>
                <w:sz w:val="16"/>
              </w:rPr>
              <w:t>Client approver (role)</w:t>
            </w:r>
          </w:p>
        </w:tc>
        <w:tc>
          <w:tcPr>
            <w:tcW w:type="dxa" w:w="3289"/>
            <w:shd w:val="clear" w:color="auto" w:fill="E9EDF1"/>
          </w:tcPr>
          <w:p>
            <w:r>
              <w:rPr>
                <w:b/>
                <w:sz w:val="16"/>
              </w:rPr>
              <w:t>Status in this sample</w:t>
            </w:r>
          </w:p>
        </w:tc>
      </w:tr>
      <w:tr>
        <w:tc>
          <w:tcPr>
            <w:tcW w:type="dxa" w:w="3289"/>
          </w:tcPr>
          <w:p>
            <w:r>
              <w:rPr>
                <w:sz w:val="16"/>
              </w:rPr>
              <w:t>C1 monthly report (December)</w:t>
            </w:r>
          </w:p>
        </w:tc>
        <w:tc>
          <w:tcPr>
            <w:tcW w:type="dxa" w:w="3289"/>
          </w:tcPr>
          <w:p>
            <w:r>
              <w:rPr>
                <w:sz w:val="16"/>
              </w:rPr>
              <w:t>DPO</w:t>
            </w:r>
          </w:p>
        </w:tc>
        <w:tc>
          <w:tcPr>
            <w:tcW w:type="dxa" w:w="3289"/>
          </w:tcPr>
          <w:p>
            <w:r>
              <w:rPr>
                <w:sz w:val="16"/>
              </w:rPr>
              <w:t>Approved after the 8 January 2027 check-in</w:t>
            </w:r>
          </w:p>
        </w:tc>
      </w:tr>
      <w:tr>
        <w:tc>
          <w:tcPr>
            <w:tcW w:type="dxa" w:w="3289"/>
          </w:tcPr>
          <w:p>
            <w:r>
              <w:rPr>
                <w:sz w:val="16"/>
              </w:rPr>
              <w:t>C2 action tracker; C3 request log; C5 change log</w:t>
            </w:r>
          </w:p>
        </w:tc>
        <w:tc>
          <w:tcPr>
            <w:tcW w:type="dxa" w:w="3289"/>
          </w:tcPr>
          <w:p>
            <w:r>
              <w:rPr>
                <w:sz w:val="16"/>
              </w:rPr>
              <w:t>DPO</w:t>
            </w:r>
          </w:p>
        </w:tc>
        <w:tc>
          <w:tcPr>
            <w:tcW w:type="dxa" w:w="3289"/>
          </w:tcPr>
          <w:p>
            <w:r>
              <w:rPr>
                <w:sz w:val="16"/>
              </w:rPr>
              <w:t>Status at 31 January 2027</w:t>
            </w:r>
          </w:p>
        </w:tc>
      </w:tr>
      <w:tr>
        <w:tc>
          <w:tcPr>
            <w:tcW w:type="dxa" w:w="3289"/>
          </w:tcPr>
          <w:p>
            <w:r>
              <w:rPr>
                <w:sz w:val="16"/>
              </w:rPr>
              <w:t>C4 vendor review (DV-04)</w:t>
            </w:r>
          </w:p>
        </w:tc>
        <w:tc>
          <w:tcPr>
            <w:tcW w:type="dxa" w:w="3289"/>
          </w:tcPr>
          <w:p>
            <w:r>
              <w:rPr>
                <w:sz w:val="16"/>
              </w:rPr>
              <w:t>DPO decides; COO approves</w:t>
            </w:r>
          </w:p>
        </w:tc>
        <w:tc>
          <w:tcPr>
            <w:tcW w:type="dxa" w:w="3289"/>
          </w:tcPr>
          <w:p>
            <w:r>
              <w:rPr>
                <w:sz w:val="16"/>
              </w:rPr>
              <w:t>DPO decision 18 January 2027; COO approval 20 January 2027</w:t>
            </w:r>
          </w:p>
        </w:tc>
      </w:tr>
      <w:tr>
        <w:tc>
          <w:tcPr>
            <w:tcW w:type="dxa" w:w="3289"/>
          </w:tcPr>
          <w:p>
            <w:r>
              <w:rPr>
                <w:sz w:val="16"/>
              </w:rPr>
              <w:t>C6 staff refresher</w:t>
            </w:r>
          </w:p>
        </w:tc>
        <w:tc>
          <w:tcPr>
            <w:tcW w:type="dxa" w:w="3289"/>
          </w:tcPr>
          <w:p>
            <w:r>
              <w:rPr>
                <w:sz w:val="16"/>
              </w:rPr>
              <w:t>DPO with the HR Manager</w:t>
            </w:r>
          </w:p>
        </w:tc>
        <w:tc>
          <w:tcPr>
            <w:tcW w:type="dxa" w:w="3289"/>
          </w:tcPr>
          <w:p>
            <w:r>
              <w:rPr>
                <w:sz w:val="16"/>
              </w:rPr>
              <w:t>Held 26 January 2027; catch-ups due 26 February 2027 (DA-15)</w:t>
            </w:r>
          </w:p>
        </w:tc>
      </w:tr>
      <w:tr>
        <w:tc>
          <w:tcPr>
            <w:tcW w:type="dxa" w:w="3289"/>
          </w:tcPr>
          <w:p>
            <w:r>
              <w:rPr>
                <w:sz w:val="16"/>
              </w:rPr>
              <w:t>C7 breach drill record</w:t>
            </w:r>
          </w:p>
        </w:tc>
        <w:tc>
          <w:tcPr>
            <w:tcW w:type="dxa" w:w="3289"/>
          </w:tcPr>
          <w:p>
            <w:r>
              <w:rPr>
                <w:sz w:val="16"/>
              </w:rPr>
              <w:t>DPO</w:t>
            </w:r>
          </w:p>
        </w:tc>
        <w:tc>
          <w:tcPr>
            <w:tcW w:type="dxa" w:w="3289"/>
          </w:tcPr>
          <w:p>
            <w:r>
              <w:rPr>
                <w:sz w:val="16"/>
              </w:rPr>
              <w:t>Drill held 21 January 2027; lesson tracked as DA-14</w:t>
            </w:r>
          </w:p>
        </w:tc>
      </w:tr>
      <w:tr>
        <w:tc>
          <w:tcPr>
            <w:tcW w:type="dxa" w:w="3289"/>
          </w:tcPr>
          <w:p>
            <w:r>
              <w:rPr>
                <w:sz w:val="16"/>
              </w:rPr>
              <w:t>C8 quarterly report and this pack</w:t>
            </w:r>
          </w:p>
        </w:tc>
        <w:tc>
          <w:tcPr>
            <w:tcW w:type="dxa" w:w="3289"/>
          </w:tcPr>
          <w:p>
            <w:r>
              <w:rPr>
                <w:sz w:val="16"/>
              </w:rPr>
              <w:t>MD</w:t>
            </w:r>
          </w:p>
        </w:tc>
        <w:tc>
          <w:tcPr>
            <w:tcW w:type="dxa" w:w="3289"/>
          </w:tcPr>
          <w:p>
            <w:r>
              <w:rPr>
                <w:sz w:val="16"/>
              </w:rPr>
              <w:t>Decisions recorded 12 February 2027</w:t>
            </w:r>
          </w:p>
        </w:tc>
      </w:tr>
    </w:tbl>
    <w:p/>
    <w:p>
      <w:r>
        <w:rPr/>
        <w:t>The reviewer reviews and signs off each deliverable before issue as a quality check. Quillmarrow's DPO and management make every decision and approval.</w:t>
      </w:r>
    </w:p>
    <w:p>
      <w:pPr>
        <w:pStyle w:val="Heading2"/>
      </w:pPr>
      <w:r>
        <w:t>Limits of this pack</w:t>
      </w:r>
    </w:p>
    <w:p>
      <w:pPr>
        <w:pStyle w:val="ListBullet"/>
      </w:pPr>
      <w:r>
        <w:t>The pack includes one monthly report (December 2026, C1) as the worked example. The November and January reports used the same format and are summarised in C8 rather than reproduced. The January figures are the 31 January 2027 snapshot in C2, C3 and C8.</w:t>
      </w:r>
    </w:p>
    <w:p>
      <w:pPr>
        <w:pStyle w:val="ListBullet"/>
      </w:pPr>
      <w:r>
        <w:t>Facts are client-reported unless a document records the evidence seen.</w:t>
      </w:r>
    </w:p>
    <w:p>
      <w:pPr>
        <w:pStyle w:val="ListBullet"/>
      </w:pPr>
      <w:r>
        <w:t>Questions that need a legal view, such as contract wording, transfer safeguards or periods set by law, went to Quillmarrow's own lawyer or accountant and are not answered here.</w:t>
      </w:r>
    </w:p>
    <w:p>
      <w:pPr>
        <w:pStyle w:val="ListBullet"/>
      </w:pPr>
      <w:r>
        <w:t>The support did not include an emergency hotline, forensic work, penetration testing or changes to live systems.</w:t>
      </w:r>
    </w:p>
    <w:p>
      <w:pPr>
        <w:pStyle w:val="ListBullet"/>
      </w:pPr>
      <w:r>
        <w:t>Missing evidence is listed, owned and dated in C2 rather than assumed.</w:t>
      </w:r>
    </w:p>
    <w:p>
      <w:pPr>
        <w:pStyle w:val="Heading2"/>
      </w:pPr>
      <w:r>
        <w:t>References</w:t>
      </w:r>
    </w:p>
    <w:p>
      <w:r>
        <w:rPr/>
        <w:t>These are the guidance documents the pack works from. No section, regulation or paragraph numbers are quoted.</w:t>
      </w:r>
    </w:p>
    <w:p>
      <w:pPr>
        <w:pStyle w:val="ListBullet"/>
      </w:pPr>
      <w:r>
        <w:t>Personal Data Protection Act 2012 (PDPA).</w:t>
      </w:r>
    </w:p>
    <w:p>
      <w:pPr>
        <w:pStyle w:val="ListBullet"/>
      </w:pPr>
      <w:r>
        <w:t>Personal Data Protection (Notification of Data Breaches) Regulations 2021.</w:t>
      </w:r>
    </w:p>
    <w:p>
      <w:pPr>
        <w:pStyle w:val="ListBullet"/>
      </w:pPr>
      <w:r>
        <w:t>PDPC Advisory Guidelines on Key Concepts in the PDPA.</w:t>
      </w:r>
    </w:p>
    <w:p>
      <w:pPr>
        <w:pStyle w:val="ListBullet"/>
      </w:pPr>
      <w:r>
        <w:t>PDPC Guide on Managing and Notifying Data Breaches under the PDPA (C.A.R.E.: Contain, Assess, Report, Evaluate).</w:t>
      </w:r>
    </w:p>
    <w:p>
      <w:pPr>
        <w:pStyle w:val="ListBullet"/>
      </w:pPr>
      <w:r>
        <w:t>PDPC Advisory Guidelines on the Do Not Call Provisions.</w:t>
      </w:r>
    </w:p>
    <w:p>
      <w:pPr>
        <w:pStyle w:val="ListBullet"/>
      </w:pPr>
      <w:r>
        <w:t>ASEAN Model Contractual Clauses, mentioned as one option for transfer safeguards.</w:t>
      </w:r>
    </w:p>
    <w:p>
      <w:pPr>
        <w:pStyle w:val="Heading2"/>
      </w:pPr>
      <w:r>
        <w:t>Version and sign-off</w:t>
      </w:r>
    </w:p>
    <w:tbl>
      <w:tblPr>
        <w:tblStyle w:val="TableGrid"/>
        <w:tblW w:type="auto" w:w="0"/>
        <w:tblLook w:firstColumn="1" w:firstRow="1" w:lastColumn="0" w:lastRow="0" w:noHBand="0" w:noVBand="1" w:val="04A0"/>
      </w:tblPr>
      <w:tblGrid>
        <w:gridCol w:w="4933"/>
        <w:gridCol w:w="4933"/>
      </w:tblGrid>
      <w:tr>
        <w:trPr>
          <w:tblHeader w:val="true"/>
        </w:trPr>
        <w:tc>
          <w:tcPr>
            <w:tcW w:type="dxa" w:w="4933"/>
            <w:shd w:val="clear" w:color="auto" w:fill="E9EDF1"/>
          </w:tcPr>
          <w:p>
            <w:r>
              <w:rPr>
                <w:b/>
                <w:sz w:val="16"/>
              </w:rPr>
              <w:t>Item</w:t>
            </w:r>
          </w:p>
        </w:tc>
        <w:tc>
          <w:tcPr>
            <w:tcW w:type="dxa" w:w="4933"/>
            <w:shd w:val="clear" w:color="auto" w:fill="E9EDF1"/>
          </w:tcPr>
          <w:p>
            <w:r>
              <w:rPr>
                <w:b/>
                <w:sz w:val="16"/>
              </w:rPr>
              <w:t>Detail</w:t>
            </w:r>
          </w:p>
        </w:tc>
      </w:tr>
      <w:tr>
        <w:tc>
          <w:tcPr>
            <w:tcW w:type="dxa" w:w="4933"/>
          </w:tcPr>
          <w:p>
            <w:r>
              <w:rPr>
                <w:sz w:val="16"/>
              </w:rPr>
              <w:t>Version</w:t>
            </w:r>
          </w:p>
        </w:tc>
        <w:tc>
          <w:tcPr>
            <w:tcW w:type="dxa" w:w="4933"/>
          </w:tcPr>
          <w:p>
            <w:r>
              <w:rPr>
                <w:sz w:val="16"/>
              </w:rPr>
              <w:t>1.0, issued 12 February 2027 after the quarterly meeting</w:t>
            </w:r>
          </w:p>
        </w:tc>
      </w:tr>
      <w:tr>
        <w:tc>
          <w:tcPr>
            <w:tcW w:type="dxa" w:w="4933"/>
          </w:tcPr>
          <w:p>
            <w:r>
              <w:rPr>
                <w:sz w:val="16"/>
              </w:rPr>
              <w:t>Pack prepared by</w:t>
            </w:r>
          </w:p>
        </w:tc>
        <w:tc>
          <w:tcPr>
            <w:tcW w:type="dxa" w:w="4933"/>
          </w:tcPr>
          <w:p>
            <w:r>
              <w:rPr>
                <w:sz w:val="16"/>
              </w:rPr>
              <w:t>Head of Operations (DPO), with the reviewer, 9 February 2027</w:t>
            </w:r>
          </w:p>
        </w:tc>
      </w:tr>
      <w:tr>
        <w:tc>
          <w:tcPr>
            <w:tcW w:type="dxa" w:w="4933"/>
          </w:tcPr>
          <w:p>
            <w:r>
              <w:rPr>
                <w:sz w:val="16"/>
              </w:rPr>
              <w:t>Final pack approved by</w:t>
            </w:r>
          </w:p>
        </w:tc>
        <w:tc>
          <w:tcPr>
            <w:tcW w:type="dxa" w:w="4933"/>
          </w:tcPr>
          <w:p>
            <w:r>
              <w:rPr>
                <w:sz w:val="16"/>
              </w:rPr>
              <w:t>Managing Director, 12 February 2027</w:t>
            </w:r>
          </w:p>
        </w:tc>
      </w:tr>
      <w:tr>
        <w:tc>
          <w:tcPr>
            <w:tcW w:type="dxa" w:w="4933"/>
          </w:tcPr>
          <w:p>
            <w:r>
              <w:rPr>
                <w:sz w:val="16"/>
              </w:rPr>
              <w:t>Prepared with support from</w:t>
            </w:r>
          </w:p>
        </w:tc>
        <w:tc>
          <w:tcPr>
            <w:tcW w:type="dxa" w:w="4933"/>
          </w:tcPr>
          <w:p>
            <w:r>
              <w:rPr>
                <w:sz w:val="16"/>
              </w:rPr>
              <w:t>The reviewer, who is not Quillmarrow's DPO</w:t>
            </w:r>
          </w:p>
        </w:tc>
      </w:tr>
      <w:tr>
        <w:tc>
          <w:tcPr>
            <w:tcW w:type="dxa" w:w="4933"/>
          </w:tcPr>
          <w:p>
            <w:r>
              <w:rPr>
                <w:sz w:val="16"/>
              </w:rPr>
              <w:t>Distribution</w:t>
            </w:r>
          </w:p>
        </w:tc>
        <w:tc>
          <w:tcPr>
            <w:tcW w:type="dxa" w:w="4933"/>
          </w:tcPr>
          <w:p>
            <w:r>
              <w:rPr>
                <w:sz w:val="16"/>
              </w:rPr>
              <w:t>MD, COO and DPO. Action owners receive the parts they own</w:t>
            </w:r>
          </w:p>
        </w:tc>
      </w:tr>
      <w:tr>
        <w:tc>
          <w:tcPr>
            <w:tcW w:type="dxa" w:w="4933"/>
          </w:tcPr>
          <w:p>
            <w:r>
              <w:rPr>
                <w:sz w:val="16"/>
              </w:rPr>
              <w:t>Classification</w:t>
            </w:r>
          </w:p>
        </w:tc>
        <w:tc>
          <w:tcPr>
            <w:tcW w:type="dxa" w:w="4933"/>
          </w:tcPr>
          <w:p>
            <w:r>
              <w:rPr>
                <w:sz w:val="16"/>
              </w:rPr>
              <w:t>Internal and confidential to Quillmarrow (in this sample, fictional)</w:t>
            </w:r>
          </w:p>
        </w:tc>
      </w:tr>
      <w:tr>
        <w:tc>
          <w:tcPr>
            <w:tcW w:type="dxa" w:w="4933"/>
          </w:tcPr>
          <w:p>
            <w:r>
              <w:rPr>
                <w:sz w:val="16"/>
              </w:rPr>
              <w:t>Evidence</w:t>
            </w:r>
          </w:p>
        </w:tc>
        <w:tc>
          <w:tcPr>
            <w:tcW w:type="dxa" w:w="4933"/>
          </w:tcPr>
          <w:p>
            <w:r>
              <w:rPr>
                <w:sz w:val="16"/>
              </w:rPr>
              <w:t>Kept by Quillmarrow in its records: the approved B documents, the incident record and decision log, the request files and the vendor file. The pack points to the evidence; it does not replace it</w:t>
            </w:r>
          </w:p>
        </w:tc>
      </w:tr>
      <w:tr>
        <w:tc>
          <w:tcPr>
            <w:tcW w:type="dxa" w:w="4933"/>
          </w:tcPr>
          <w:p>
            <w:r>
              <w:rPr>
                <w:sz w:val="16"/>
              </w:rPr>
              <w:t>Next pack</w:t>
            </w:r>
          </w:p>
        </w:tc>
        <w:tc>
          <w:tcPr>
            <w:tcW w:type="dxa" w:w="4933"/>
          </w:tcPr>
          <w:p>
            <w:r>
              <w:rPr>
                <w:sz w:val="16"/>
              </w:rPr>
              <w:t>The February to April 2027 quarter, after the next quarterly meeting</w:t>
            </w:r>
          </w:p>
        </w:tc>
      </w:tr>
    </w:tbl>
    <w:p/>
    <w:p>
      <w:pPr>
        <w:pStyle w:val="Heading2"/>
      </w:pPr>
      <w:r>
        <w:t>About this sample</w:t>
      </w:r>
    </w:p>
    <w:p>
      <w:r>
        <w:rPr>
          <w:b/>
        </w:rPr>
        <w:t>Fictional organisation, illustrative only, not a client case study.</w:t>
      </w:r>
      <w:r>
        <w:rPr/>
        <w:t xml:space="preserve"> Quillmarrow Supplies Pte. Ltd., its people, vendors, findings and dates are invented. Nothing in this document reports a client result.</w:t>
      </w:r>
    </w:p>
    <w:p>
      <w:r>
        <w:rPr/>
        <w:t>I personally review and sign off every deliverable. You appoint your own DPO. I support them.</w:t>
      </w:r>
    </w:p>
    <w:p>
      <w:r>
        <w:rPr/>
        <w:t>This is practical compliance support, not legal advice. For legal advice, use a Singapore-qualified lawyer.</w:t>
      </w:r>
    </w:p>
    <w:p>
      <w:r>
        <w:rPr>
          <w:b/>
        </w:rPr>
        <w:t>What's not included</w:t>
      </w:r>
    </w:p>
    <w:p>
      <w:pPr>
        <w:pStyle w:val="ListBullet"/>
      </w:pPr>
      <w:r>
        <w:t>Acting as, being named as or replacing your DPO.</w:t>
      </w:r>
    </w:p>
    <w:p>
      <w:pPr>
        <w:pStyle w:val="ListBullet"/>
      </w:pPr>
      <w:r>
        <w:t>Legal advice, legal representation or submitting regulatory notifications on your behalf.</w:t>
      </w:r>
    </w:p>
    <w:p>
      <w:pPr>
        <w:pStyle w:val="ListBullet"/>
      </w:pPr>
      <w:r>
        <w:t>Certification or a guarantee of compliance.</w:t>
      </w:r>
    </w:p>
    <w:p>
      <w:pPr>
        <w:pStyle w:val="ListBullet"/>
      </w:pPr>
      <w:r>
        <w:t>An emergency hotline or a substitute for your own incident-response arrangements.</w:t>
      </w:r>
    </w:p>
    <w:p>
      <w:pPr>
        <w:pStyle w:val="ListBullet"/>
      </w:pPr>
      <w:r>
        <w:t>Forensic investigation, penetration testing, security engineering or administering your systems.</w:t>
      </w:r>
    </w:p>
    <w:p>
      <w:pPr>
        <w:pStyle w:val="ListBullet"/>
      </w:pPr>
      <w:r>
        <w:t>Holding your customer database or making changes to live systems.</w:t>
      </w:r>
    </w:p>
    <w:p>
      <w:pPr>
        <w:pStyle w:val="ListBullet"/>
      </w:pPr>
      <w:r>
        <w:t>Rebuilding the whole PDPA programme, a new AI governance review or a major new project (these need a separate scope and quote).</w:t>
      </w:r>
    </w:p>
    <w:p>
      <w:pPr>
        <w:pStyle w:val="ListBullet"/>
      </w:pPr>
      <w:r>
        <w:t>Healthcare-sector work or on-site delivery.</w:t>
      </w:r>
    </w:p>
    <w:p>
      <w:r>
        <w:rPr/>
        <w:t>Questions about this sample: DM @alewyl1 on X, or ask for a free intro call (coffee chat).</w:t>
      </w:r>
    </w:p>
    <w:sectPr w:rsidR="00FC693F" w:rsidRPr="0006063C" w:rsidSect="00034616">
      <w:headerReference w:type="default" r:id="rId9"/>
      <w:footerReference w:type="default" r:id="rId10"/>
      <w:pgSz w:w="11906" w:h="16838"/>
      <w:pgMar w:top="1134"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B6670"/>
        <w:sz w:val="15"/>
      </w:rPr>
      <w:t xml:space="preserve">Fictional organisation, illustrative only, not a client case study · Not legal advice · Page </w:t>
    </w:r>
    <w:r>
      <w:fldChar w:fldCharType="begin"/>
    </w:r>
    <w:r>
      <w:instrText xml:space="preserve">PAGE</w:instrText>
    </w:r>
    <w:r>
      <w:fldChar w:fldCharType="end"/>
    </w:r>
    <w:r>
      <w:rPr>
        <w:sz w:val="15"/>
      </w:rPr>
      <w:t xml:space="preserve"> of </w:t>
    </w:r>
    <w:r>
      <w:fldChar w:fldCharType="begin"/>
    </w:r>
    <w:r>
      <w:instrText xml:space="preserve">NUMPAGES</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B6670"/>
        <w:sz w:val="15"/>
      </w:rPr>
      <w:t>Quillmarrow Supplies Pte. Ltd. (fictional) · Monthly DPO support · C0 · v1.0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color w:val="1F29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F3A5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F3A52"/>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mbria" w:hAnsi="Cambria"/>
      <w:b/>
      <w:bCs/>
      <w:color w:val="1F3A52"/>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Monthly DPO support pack: cover, contents and how to read it</dc:title>
  <dc:subject>Fictional organisation, illustrative only, not a client case study</dc:subject>
  <dc:creator>Alex Lew</dc:creator>
  <cp:keywords>Monthly DPO support; sample; fictional</cp:keywords>
  <dc:description>Fictional organisation, illustrative only, not a client case study</dc:description>
  <cp:lastModifiedBy>Alex Lew</cp:lastModifiedBy>
  <cp:revision>1</cp:revision>
  <dcterms:created xsi:type="dcterms:W3CDTF">2027-02-12T09:00:00Z</dcterms:created>
  <dcterms:modified xsi:type="dcterms:W3CDTF">2027-02-12T09:00:00Z</dcterms:modified>
  <cp:category>Sample</cp:category>
</cp:coreProperties>
</file>