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3E5C76"/>
          <w:sz w:val="16"/>
        </w:rPr>
        <w:t>MONTHLY DPO SUPPORT PACK · C3</w:t>
      </w:r>
    </w:p>
    <w:p>
      <w:pPr>
        <w:pStyle w:val="Heading1"/>
      </w:pPr>
      <w:r>
        <w:t>Request and complaint log</w:t>
      </w:r>
    </w:p>
    <w:p>
      <w:r>
        <w:rPr>
          <w:b/>
        </w:rPr>
        <w:t xml:space="preserve">Fictional organisation, illustrative only, not a client case study. </w:t>
      </w:r>
      <w:r>
        <w:t>Quillmarrow Supplies Pte. Ltd. (fictional) is invented. All people are shown by role only.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rPr>
          <w:tblHeader w:val="true"/>
        </w:trP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Organisation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Quillmarrow Supplies Pte. Ltd. (fictional)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Document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C3 · Request and complaint log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Version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1.0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Date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5 February 2027 (illustrative)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Prepared by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Alex Lew, reviewer and sign-off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Client approver (role)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Head of Operations (DPO)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Label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Fictional organisation, illustrative only, not a client case study</w:t>
            </w:r>
          </w:p>
        </w:tc>
      </w:tr>
    </w:tbl>
    <w:p/>
    <w:p>
      <w:pPr>
        <w:pStyle w:val="Heading2"/>
      </w:pPr>
      <w:r>
        <w:t>1. Targets used</w:t>
      </w:r>
    </w:p>
    <w:p>
      <w:r>
        <w:rPr/>
        <w:t xml:space="preserve">Quillmarrow’s target is to acknowledge requests within </w:t>
      </w:r>
      <w:r>
        <w:rPr>
          <w:b/>
        </w:rPr>
        <w:t>3 working days</w:t>
      </w:r>
      <w:r>
        <w:rPr/>
        <w:t xml:space="preserve"> and respond within </w:t>
      </w:r>
      <w:r>
        <w:rPr>
          <w:b/>
        </w:rPr>
        <w:t>30 days</w:t>
      </w:r>
      <w:r>
        <w:rPr/>
        <w:t>, aiming to respond as soon as reasonably possible. The response target is Quillmarrow’s own working target; it should not be treated as a reason to delay a response that can be given sooner.</w:t>
      </w:r>
    </w:p>
    <w:p>
      <w:r>
        <w:rPr/>
        <w:t xml:space="preserve">Under B6, marketing withdrawals are to be stopped within </w:t>
      </w:r>
      <w:r>
        <w:rPr>
          <w:b/>
        </w:rPr>
        <w:t>10 working days</w:t>
      </w:r>
      <w:r>
        <w:rPr/>
        <w:t>. If more time is needed to respond to an access or correction request, the person is told in writing when a response will be given. The DPO confirms the timing for any such case with Quillmarrow's lawyer.</w:t>
      </w:r>
    </w:p>
    <w:p>
      <w:r>
        <w:rPr/>
        <w:t>C3 continues the B7 log. The table following this introduction records AR-07 to AR-14, including the relevant dates, outcomes and owners.</w:t>
      </w:r>
    </w:p>
    <w:p>
      <w:pPr>
        <w:pStyle w:val="Heading2"/>
      </w:pPr>
      <w:r>
        <w:t>2. The quarter in numbers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rPr>
          <w:tblHeader w:val="true"/>
        </w:trP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Measure</w:t>
            </w:r>
          </w:p>
        </w:tc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Count</w:t>
            </w:r>
          </w:p>
        </w:tc>
      </w:tr>
      <w:tr>
        <w:tc>
          <w:tcPr>
            <w:tcW w:type="dxa" w:w="7399"/>
          </w:tcPr>
          <w:p>
            <w:r>
              <w:rPr>
                <w:sz w:val="14"/>
              </w:rPr>
              <w:t>Received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8</w:t>
            </w:r>
          </w:p>
        </w:tc>
      </w:tr>
      <w:tr>
        <w:tc>
          <w:tcPr>
            <w:tcW w:type="dxa" w:w="7399"/>
          </w:tcPr>
          <w:p>
            <w:r>
              <w:rPr>
                <w:sz w:val="14"/>
              </w:rPr>
              <w:t>Access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4</w:t>
            </w:r>
          </w:p>
        </w:tc>
      </w:tr>
      <w:tr>
        <w:tc>
          <w:tcPr>
            <w:tcW w:type="dxa" w:w="7399"/>
          </w:tcPr>
          <w:p>
            <w:r>
              <w:rPr>
                <w:sz w:val="14"/>
              </w:rPr>
              <w:t>Correction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2</w:t>
            </w:r>
          </w:p>
        </w:tc>
      </w:tr>
      <w:tr>
        <w:tc>
          <w:tcPr>
            <w:tcW w:type="dxa" w:w="7399"/>
          </w:tcPr>
          <w:p>
            <w:r>
              <w:rPr>
                <w:sz w:val="14"/>
              </w:rPr>
              <w:t>Withdrawal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1</w:t>
            </w:r>
          </w:p>
        </w:tc>
      </w:tr>
      <w:tr>
        <w:tc>
          <w:tcPr>
            <w:tcW w:type="dxa" w:w="7399"/>
          </w:tcPr>
          <w:p>
            <w:r>
              <w:rPr>
                <w:sz w:val="14"/>
              </w:rPr>
              <w:t>Complaint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1</w:t>
            </w:r>
          </w:p>
        </w:tc>
      </w:tr>
      <w:tr>
        <w:tc>
          <w:tcPr>
            <w:tcW w:type="dxa" w:w="7399"/>
          </w:tcPr>
          <w:p>
            <w:r>
              <w:rPr>
                <w:sz w:val="14"/>
              </w:rPr>
              <w:t>Responded within 30 days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7 of 7 closed</w:t>
            </w:r>
          </w:p>
        </w:tc>
      </w:tr>
      <w:tr>
        <w:tc>
          <w:tcPr>
            <w:tcW w:type="dxa" w:w="7399"/>
          </w:tcPr>
          <w:p>
            <w:r>
              <w:rPr>
                <w:sz w:val="14"/>
              </w:rPr>
              <w:t>Acknowledgements late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1 (AR-13)</w:t>
            </w:r>
          </w:p>
        </w:tc>
      </w:tr>
      <w:tr>
        <w:tc>
          <w:tcPr>
            <w:tcW w:type="dxa" w:w="7399"/>
          </w:tcPr>
          <w:p>
            <w:r>
              <w:rPr>
                <w:sz w:val="14"/>
              </w:rPr>
              <w:t>Open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1 (AR-14, due 19 February 2027)</w:t>
            </w:r>
          </w:p>
        </w:tc>
      </w:tr>
    </w:tbl>
    <w:p/>
    <w:p>
      <w:r>
        <w:rPr/>
        <w:t>The access entries are AR-07, AR-11, AR-12 and AR-14. AR-14 remained open at 31 January 2027 and was within its response target. AR-13 was acknowledged late but the correction response was on target.</w:t>
      </w:r>
    </w:p>
    <w:p>
      <w:pPr>
        <w:pStyle w:val="Heading2"/>
      </w:pPr>
      <w:r>
        <w:t>3. What changed because of the log</w:t>
      </w:r>
    </w:p>
    <w:p>
      <w:r>
        <w:rPr/>
        <w:t>Following the delay in forwarding AR-06, DV-01 agreed to forward requests within one working day. AR-12 shows that DV-01 forwarded the later Malaysia delivery-record request within that agreed time.</w:t>
      </w:r>
    </w:p>
    <w:p>
      <w:r>
        <w:rPr/>
        <w:t>AR-13 reached a sales mailbox and was acknowledged late. The resulting shared-mailbox forwarding rule was recorded in B7 v1.1 under PC-09: request-like emails are forwarded to the DPO.</w:t>
      </w:r>
    </w:p>
    <w:p>
      <w:r>
        <w:rPr/>
        <w:t>For AR-10, the Head of Marketing and DPO recorded the complaint and the DNC check result. The number was added to Quillmarrow’s internal do-not-call list on the day the complaint was received.</w:t>
      </w:r>
    </w:p>
    <w:p>
      <w:pPr>
        <w:pStyle w:val="Heading2"/>
      </w:pPr>
      <w:r>
        <w:t>4. Who approves responses</w:t>
      </w:r>
    </w:p>
    <w:p>
      <w:r>
        <w:rPr/>
        <w:t>The DPO oversees the log and approves responses where indicated in the individual record. The relevant business owner handles or supports the response according to the entry: for example, the HR Manager for HR matters and the Sales Manager for AR-13. The reviewer may review records and advise but does not approve responses for Quillmarrow. Any uncertain legal point should be referred to a Singapore-qualified lawyer.</w:t>
      </w:r>
    </w:p>
    <w:p>
      <w:r>
        <w:rPr/>
        <w:t>The log follows.</w:t>
      </w:r>
    </w:p>
    <w:p>
      <w:pPr>
        <w:pStyle w:val="Heading2"/>
      </w:pPr>
      <w:r>
        <w:t>Request and complaint log (AR-07 to AR-14)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>
        <w:trPr>
          <w:tblHeader w:val="true"/>
        </w:trPr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ID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Type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Received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Channel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Requester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Request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ID check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Acknowledged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Ack on target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Outcome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Responded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Days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Within 30 days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Approved by</w:t>
            </w:r>
          </w:p>
        </w:tc>
        <w:tc>
          <w:tcPr>
            <w:tcW w:type="dxa" w:w="987"/>
            <w:shd w:val="clear" w:color="auto" w:fill="E9EDF1"/>
          </w:tcPr>
          <w:p>
            <w:r>
              <w:rPr>
                <w:b/>
                <w:sz w:val="14"/>
              </w:rPr>
              <w:t>Notes</w:t>
            </w:r>
          </w:p>
        </w:tc>
      </w:tr>
      <w:tr>
        <w:tc>
          <w:tcPr>
            <w:tcW w:type="dxa" w:w="987"/>
          </w:tcPr>
          <w:p>
            <w:r>
              <w:rPr>
                <w:sz w:val="14"/>
              </w:rPr>
              <w:t>AR-07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Access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3 Nov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Email to the DPO address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Web-shop customer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Copy of order history and marketing data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Login to the web-shop account to send the request, plus confirmation of the delivery postcode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4 Nov 2026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Copy of order history and marketing preference record provided by secure download link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17 Nov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14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DPO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Closed on target under B7.</w:t>
            </w:r>
          </w:p>
        </w:tc>
      </w:tr>
      <w:tr>
        <w:tc>
          <w:tcPr>
            <w:tcW w:type="dxa" w:w="987"/>
          </w:tcPr>
          <w:p>
            <w:r>
              <w:rPr>
                <w:sz w:val="14"/>
              </w:rPr>
              <w:t>AR-08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Withdrawal of consent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9 Nov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Email to the DPO address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Marketing contact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Withdraw marketing consent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Not needed: withdrawal only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11 Nov 2026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Suppressed in MailBurst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11 Nov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2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Head of Marketing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Suppression and acknowledgement completed within the B6 target.</w:t>
            </w:r>
          </w:p>
        </w:tc>
      </w:tr>
      <w:tr>
        <w:tc>
          <w:tcPr>
            <w:tcW w:type="dxa" w:w="987"/>
          </w:tcPr>
          <w:p>
            <w:r>
              <w:rPr>
                <w:sz w:val="14"/>
              </w:rPr>
              <w:t>AR-09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Correction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24 Nov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Email to HR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Former employee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Correct postal address in PeopleDesk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Matched to the former employee's personal email held in PeopleDesk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26 Nov 2026 (with the correction)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Address corrected and confirmed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26 Nov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2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HR Manager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Closed on target under B7.</w:t>
            </w:r>
          </w:p>
        </w:tc>
      </w:tr>
      <w:tr>
        <w:tc>
          <w:tcPr>
            <w:tcW w:type="dxa" w:w="987"/>
          </w:tcPr>
          <w:p>
            <w:r>
              <w:rPr>
                <w:sz w:val="14"/>
              </w:rPr>
              <w:t>AR-10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Complaint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4 Dec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Phone call to Customer Service, logged by the DPO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SME owner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Complaint about a telemarketing call to their mobile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Not needed: complaint about a call; mobile number matched to the campaign call record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4 Dec 2026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Number added to Quillmarrow's internal do-not-call list the same day; reply sent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9 Dec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5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DPO with Head of Marketing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DNC check record showed the number was not registered at the check date. One complaint in the period.</w:t>
            </w:r>
          </w:p>
        </w:tc>
      </w:tr>
      <w:tr>
        <w:tc>
          <w:tcPr>
            <w:tcW w:type="dxa" w:w="987"/>
          </w:tcPr>
          <w:p>
            <w:r>
              <w:rPr>
                <w:sz w:val="14"/>
              </w:rPr>
              <w:t>AR-11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Access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7 Dec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Showroom counter, written form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Customer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CCTV footage of a 2 October showroom visit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Photo ID checked at the showroom counter by the Showroom Supervisor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8 Dec 2026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Told in writing that no footage was held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14 Dec 2026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7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DPO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Footage had already been overwritten under the about-30-day cycle before the request arrived.</w:t>
            </w:r>
          </w:p>
        </w:tc>
      </w:tr>
      <w:tr>
        <w:tc>
          <w:tcPr>
            <w:tcW w:type="dxa" w:w="987"/>
          </w:tcPr>
          <w:p>
            <w:r>
              <w:rPr>
                <w:sz w:val="14"/>
              </w:rPr>
              <w:t>AR-12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Access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16 Dec 2026 (DV-01 received it 15 Dec)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Request to DV-01, forwarded to Quillmarrow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Malaysia customer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Copy of delivery records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Order number and delivery address matched against ShopCloud order records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17 Dec 2026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Delivery records provided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6 Jan 2027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21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DPO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DV-01 forwarded the request on 16 Dec, within the one working day it agreed on 25 Nov 2026 (DA-05).</w:t>
            </w:r>
          </w:p>
        </w:tc>
      </w:tr>
      <w:tr>
        <w:tc>
          <w:tcPr>
            <w:tcW w:type="dxa" w:w="987"/>
          </w:tcPr>
          <w:p>
            <w:r>
              <w:rPr>
                <w:sz w:val="14"/>
              </w:rPr>
              <w:t>AR-13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Correction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5 Jan 2027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Sales mailbox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B2B contact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Correct email address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Reply sent to the email address on the B2B account record, confirmed by the account holder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12 Jan 2027</w:t>
            </w:r>
          </w:p>
        </w:tc>
        <w:tc>
          <w:tcPr>
            <w:tcW w:type="dxa" w:w="987"/>
            <w:shd w:val="clear" w:color="auto" w:fill="F8E5E3"/>
          </w:tcPr>
          <w:p>
            <w:r>
              <w:rPr>
                <w:sz w:val="14"/>
              </w:rPr>
              <w:t>No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Email address corrected in ShopCloud and MailBurst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12 Jan 2027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7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Sales Manager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Acknowledgement took 5 working days, late against the 3-working-day target. Shared mailboxes now forward request-like emails to the DPO; see B7 v1.1 and PC-09.</w:t>
            </w:r>
          </w:p>
        </w:tc>
      </w:tr>
      <w:tr>
        <w:tc>
          <w:tcPr>
            <w:tcW w:type="dxa" w:w="987"/>
          </w:tcPr>
          <w:p>
            <w:r>
              <w:rPr>
                <w:sz w:val="14"/>
              </w:rPr>
              <w:t>AR-14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Access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20 Jan 2027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Email to the careers address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Unsuccessful job applicant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Interview notes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Matched to the email address and application reference used for the application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21 Jan 2027</w:t>
            </w:r>
          </w:p>
        </w:tc>
        <w:tc>
          <w:tcPr>
            <w:tcW w:type="dxa" w:w="987"/>
            <w:shd w:val="clear" w:color="auto" w:fill="E8F1EC"/>
          </w:tcPr>
          <w:p>
            <w:r>
              <w:rPr>
                <w:sz w:val="14"/>
              </w:rPr>
              <w:t>Yes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Open at 31 Jan 2027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Open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Open</w:t>
            </w:r>
          </w:p>
        </w:tc>
        <w:tc>
          <w:tcPr>
            <w:tcW w:type="dxa" w:w="987"/>
            <w:shd w:val="clear" w:color="auto" w:fill="FBF3DF"/>
          </w:tcPr>
          <w:p>
            <w:r>
              <w:rPr>
                <w:sz w:val="14"/>
              </w:rPr>
              <w:t>Open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HR Manager with DPO</w:t>
            </w:r>
          </w:p>
        </w:tc>
        <w:tc>
          <w:tcPr>
            <w:tcW w:type="dxa" w:w="987"/>
          </w:tcPr>
          <w:p>
            <w:r>
              <w:rPr>
                <w:sz w:val="14"/>
              </w:rPr>
              <w:t>Open within target at 31 Jan 2027; due 19 Feb 2027.</w:t>
            </w:r>
          </w:p>
        </w:tc>
      </w:tr>
    </w:tbl>
    <w:p/>
    <w:p>
      <w:pPr>
        <w:pStyle w:val="Heading2"/>
      </w:pPr>
      <w:r>
        <w:t>Review and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rPr>
          <w:tblHeader w:val="true"/>
        </w:trPr>
        <w:tc>
          <w:tcPr>
            <w:tcW w:type="dxa" w:w="4933"/>
            <w:shd w:val="clear" w:color="auto" w:fill="E9EDF1"/>
          </w:tcPr>
          <w:p>
            <w:r>
              <w:rPr>
                <w:b/>
                <w:sz w:val="14"/>
              </w:rPr>
              <w:t>Step</w:t>
            </w:r>
          </w:p>
        </w:tc>
        <w:tc>
          <w:tcPr>
            <w:tcW w:type="dxa" w:w="4933"/>
            <w:shd w:val="clear" w:color="auto" w:fill="E9EDF1"/>
          </w:tcPr>
          <w:p>
            <w:r>
              <w:rPr>
                <w:b/>
                <w:sz w:val="14"/>
              </w:rPr>
              <w:t>Who</w:t>
            </w:r>
          </w:p>
        </w:tc>
        <w:tc>
          <w:tcPr>
            <w:tcW w:type="dxa" w:w="4933"/>
            <w:shd w:val="clear" w:color="auto" w:fill="E9EDF1"/>
          </w:tcPr>
          <w:p>
            <w:r>
              <w:rPr>
                <w:b/>
                <w:sz w:val="14"/>
              </w:rPr>
              <w:t>Date</w:t>
            </w:r>
          </w:p>
        </w:tc>
      </w:tr>
      <w:tr>
        <w:tc>
          <w:tcPr>
            <w:tcW w:type="dxa" w:w="4933"/>
          </w:tcPr>
          <w:p>
            <w:r>
              <w:rPr>
                <w:sz w:val="14"/>
              </w:rPr>
              <w:t>Log checked against the request files</w:t>
            </w:r>
          </w:p>
        </w:tc>
        <w:tc>
          <w:tcPr>
            <w:tcW w:type="dxa" w:w="4933"/>
          </w:tcPr>
          <w:p>
            <w:r>
              <w:rPr>
                <w:sz w:val="14"/>
              </w:rPr>
              <w:t>Head of Operations (DPO)</w:t>
            </w:r>
          </w:p>
        </w:tc>
        <w:tc>
          <w:tcPr>
            <w:tcW w:type="dxa" w:w="4933"/>
          </w:tcPr>
          <w:p>
            <w:r>
              <w:rPr>
                <w:sz w:val="14"/>
              </w:rPr>
              <w:t>31 January 2027</w:t>
            </w:r>
          </w:p>
        </w:tc>
      </w:tr>
      <w:tr>
        <w:tc>
          <w:tcPr>
            <w:tcW w:type="dxa" w:w="4933"/>
          </w:tcPr>
          <w:p>
            <w:r>
              <w:rPr>
                <w:sz w:val="14"/>
              </w:rPr>
              <w:t>Log reviewed at the January check-in</w:t>
            </w:r>
          </w:p>
        </w:tc>
        <w:tc>
          <w:tcPr>
            <w:tcW w:type="dxa" w:w="4933"/>
          </w:tcPr>
          <w:p>
            <w:r>
              <w:rPr>
                <w:sz w:val="14"/>
              </w:rPr>
              <w:t>DPO and COO, with the reviewer</w:t>
            </w:r>
          </w:p>
        </w:tc>
        <w:tc>
          <w:tcPr>
            <w:tcW w:type="dxa" w:w="4933"/>
          </w:tcPr>
          <w:p>
            <w:r>
              <w:rPr>
                <w:sz w:val="14"/>
              </w:rPr>
              <w:t>5 February 2027</w:t>
            </w:r>
          </w:p>
        </w:tc>
      </w:tr>
      <w:tr>
        <w:tc>
          <w:tcPr>
            <w:tcW w:type="dxa" w:w="4933"/>
          </w:tcPr>
          <w:p>
            <w:r>
              <w:rPr>
                <w:sz w:val="14"/>
              </w:rPr>
              <w:t>Log approved as the record for the quarter</w:t>
            </w:r>
          </w:p>
        </w:tc>
        <w:tc>
          <w:tcPr>
            <w:tcW w:type="dxa" w:w="4933"/>
          </w:tcPr>
          <w:p>
            <w:r>
              <w:rPr>
                <w:sz w:val="14"/>
              </w:rPr>
              <w:t>Head of Operations (DPO)</w:t>
            </w:r>
          </w:p>
        </w:tc>
        <w:tc>
          <w:tcPr>
            <w:tcW w:type="dxa" w:w="4933"/>
          </w:tcPr>
          <w:p>
            <w:r>
              <w:rPr>
                <w:sz w:val="14"/>
              </w:rPr>
              <w:t>5 February 2027</w:t>
            </w:r>
          </w:p>
        </w:tc>
      </w:tr>
    </w:tbl>
    <w:p/>
    <w:p>
      <w:r>
        <w:rPr>
          <w:b/>
        </w:rPr>
        <w:t>Next update:</w:t>
      </w:r>
      <w:r>
        <w:rPr/>
        <w:t xml:space="preserve"> AR-14 is due on 19 February 2027; its outcome will be added before the March check-in.</w:t>
      </w:r>
    </w:p>
    <w:p>
      <w:pPr>
        <w:pStyle w:val="Heading2"/>
      </w:pPr>
      <w:r>
        <w:t>About this sample</w:t>
      </w:r>
    </w:p>
    <w:p>
      <w:r>
        <w:rPr>
          <w:b/>
        </w:rPr>
        <w:t>Fictional organisation, illustrative only, not a client case study.</w:t>
      </w:r>
      <w:r>
        <w:rPr/>
        <w:t xml:space="preserve"> Quillmarrow Supplies Pte. Ltd., its people, vendors, findings and dates are invented. Nothing in this document reports a client result.</w:t>
      </w:r>
    </w:p>
    <w:p>
      <w:r>
        <w:rPr/>
        <w:t>I personally review and sign off every deliverable. You appoint your own DPO. I support them.</w:t>
      </w:r>
    </w:p>
    <w:p>
      <w:r>
        <w:rPr/>
        <w:t>This is practical compliance support, not legal advice. For legal advice, use a Singapore-qualified lawyer.</w:t>
      </w:r>
    </w:p>
    <w:p>
      <w:r>
        <w:rPr>
          <w:b/>
        </w:rPr>
        <w:t>What's not included</w:t>
      </w:r>
    </w:p>
    <w:p>
      <w:pPr>
        <w:pStyle w:val="ListBullet"/>
      </w:pPr>
      <w:r>
        <w:t>Acting as, being named as or replacing your DPO.</w:t>
      </w:r>
    </w:p>
    <w:p>
      <w:pPr>
        <w:pStyle w:val="ListBullet"/>
      </w:pPr>
      <w:r>
        <w:t>Legal advice, legal representation or submitting regulatory notifications on your behalf.</w:t>
      </w:r>
    </w:p>
    <w:p>
      <w:pPr>
        <w:pStyle w:val="ListBullet"/>
      </w:pPr>
      <w:r>
        <w:t>Certification or a guarantee of compliance.</w:t>
      </w:r>
    </w:p>
    <w:p>
      <w:pPr>
        <w:pStyle w:val="ListBullet"/>
      </w:pPr>
      <w:r>
        <w:t>An emergency hotline or a substitute for your own incident-response arrangements.</w:t>
      </w:r>
    </w:p>
    <w:p>
      <w:pPr>
        <w:pStyle w:val="ListBullet"/>
      </w:pPr>
      <w:r>
        <w:t>Forensic investigation, penetration testing, security engineering or administering your systems.</w:t>
      </w:r>
    </w:p>
    <w:p>
      <w:pPr>
        <w:pStyle w:val="ListBullet"/>
      </w:pPr>
      <w:r>
        <w:t>Holding your customer database or making changes to live systems.</w:t>
      </w:r>
    </w:p>
    <w:p>
      <w:pPr>
        <w:pStyle w:val="ListBullet"/>
      </w:pPr>
      <w:r>
        <w:t>Rebuilding the whole PDPA programme, a new AI governance review or a major new project (these need a separate scope and quote).</w:t>
      </w:r>
    </w:p>
    <w:p>
      <w:pPr>
        <w:pStyle w:val="ListBullet"/>
      </w:pPr>
      <w:r>
        <w:t>Healthcare-sector work or on-site delivery.</w:t>
      </w:r>
    </w:p>
    <w:p>
      <w:r>
        <w:rPr/>
        <w:t>Questions about this sample: DM @alewyl1 on X, or ask for a free intro call (coffee chat).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670"/>
        <w:sz w:val="15"/>
      </w:rPr>
      <w:t xml:space="preserve">Fictional organisation, illustrative only, not a client case study · Not legal advice · Page </w:t>
    </w:r>
    <w:r>
      <w:fldChar w:fldCharType="begin"/>
    </w:r>
    <w:r>
      <w:instrText xml:space="preserve">PAGE</w:instrText>
    </w:r>
    <w:r>
      <w:fldChar w:fldCharType="end"/>
    </w:r>
    <w:r>
      <w:rPr>
        <w:sz w:val="15"/>
      </w:rPr>
      <w:t xml:space="preserve"> of </w:t>
    </w:r>
    <w:r>
      <w:fldChar w:fldCharType="begin"/>
    </w:r>
    <w:r>
      <w:instrText xml:space="preserve">NUMPAGES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670"/>
        <w:sz w:val="15"/>
      </w:rPr>
      <w:t>Quillmarrow Supplies Pte. Ltd. (fictional) · Monthly DPO support · C3 ·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3A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1F3A5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mbria" w:hAnsi="Cambria"/>
      <w:b/>
      <w:bCs/>
      <w:color w:val="1F3A5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C3 Request and complaint log</dc:title>
  <dc:subject>Fictional organisation, illustrative only, not a client case study</dc:subject>
  <dc:creator>Alex Lew</dc:creator>
  <cp:keywords>Monthly DPO support; sample; fictional</cp:keywords>
  <dc:description>Fictional organisation, illustrative only, not a client case study</dc:description>
  <cp:lastModifiedBy>Alex Lew</cp:lastModifiedBy>
  <cp:revision>1</cp:revision>
  <dcterms:created xsi:type="dcterms:W3CDTF">2027-02-12T09:00:00Z</dcterms:created>
  <dcterms:modified xsi:type="dcterms:W3CDTF">2027-02-12T09:00:00Z</dcterms:modified>
  <cp:category>Sample</cp:category>
</cp:coreProperties>
</file>