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MONTHLY DPO SUPPORT PACK · C5</w:t>
      </w:r>
    </w:p>
    <w:p>
      <w:pPr>
        <w:pStyle w:val="Heading1"/>
      </w:pPr>
      <w:r>
        <w:t>Policy and procedure change log</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Organisation</w:t>
            </w:r>
          </w:p>
        </w:tc>
        <w:tc>
          <w:tcPr>
            <w:tcW w:type="dxa" w:w="7399"/>
          </w:tcPr>
          <w:p>
            <w:r>
              <w:rPr>
                <w:sz w:val="14"/>
              </w:rPr>
              <w:t>Quillmarrow Supplies Pte. Ltd. (fictional)</w:t>
            </w:r>
          </w:p>
        </w:tc>
      </w:tr>
      <w:tr>
        <w:tc>
          <w:tcPr>
            <w:tcW w:type="dxa" w:w="7399"/>
            <w:shd w:val="clear" w:color="auto" w:fill="E9EDF1"/>
          </w:tcPr>
          <w:p>
            <w:r>
              <w:rPr>
                <w:b/>
                <w:sz w:val="14"/>
              </w:rPr>
              <w:t>Document</w:t>
            </w:r>
          </w:p>
        </w:tc>
        <w:tc>
          <w:tcPr>
            <w:tcW w:type="dxa" w:w="7399"/>
          </w:tcPr>
          <w:p>
            <w:r>
              <w:rPr>
                <w:sz w:val="14"/>
              </w:rPr>
              <w:t>C5 · Policy and procedure change log</w:t>
            </w:r>
          </w:p>
        </w:tc>
      </w:tr>
      <w:tr>
        <w:tc>
          <w:tcPr>
            <w:tcW w:type="dxa" w:w="7399"/>
            <w:shd w:val="clear" w:color="auto" w:fill="E9EDF1"/>
          </w:tcPr>
          <w:p>
            <w:r>
              <w:rPr>
                <w:b/>
                <w:sz w:val="14"/>
              </w:rPr>
              <w:t>Version</w:t>
            </w:r>
          </w:p>
        </w:tc>
        <w:tc>
          <w:tcPr>
            <w:tcW w:type="dxa" w:w="7399"/>
          </w:tcPr>
          <w:p>
            <w:r>
              <w:rPr>
                <w:sz w:val="14"/>
              </w:rPr>
              <w:t>1.0</w:t>
            </w:r>
          </w:p>
        </w:tc>
      </w:tr>
      <w:tr>
        <w:tc>
          <w:tcPr>
            <w:tcW w:type="dxa" w:w="7399"/>
            <w:shd w:val="clear" w:color="auto" w:fill="E9EDF1"/>
          </w:tcPr>
          <w:p>
            <w:r>
              <w:rPr>
                <w:b/>
                <w:sz w:val="14"/>
              </w:rPr>
              <w:t>Date</w:t>
            </w:r>
          </w:p>
        </w:tc>
        <w:tc>
          <w:tcPr>
            <w:tcW w:type="dxa" w:w="7399"/>
          </w:tcPr>
          <w:p>
            <w:r>
              <w:rPr>
                <w:sz w:val="14"/>
              </w:rPr>
              <w:t>5 February 2027 (illustrative)</w:t>
            </w:r>
          </w:p>
        </w:tc>
      </w:tr>
      <w:tr>
        <w:tc>
          <w:tcPr>
            <w:tcW w:type="dxa" w:w="7399"/>
            <w:shd w:val="clear" w:color="auto" w:fill="E9EDF1"/>
          </w:tcPr>
          <w:p>
            <w:r>
              <w:rPr>
                <w:b/>
                <w:sz w:val="14"/>
              </w:rPr>
              <w:t>Prepared by</w:t>
            </w:r>
          </w:p>
        </w:tc>
        <w:tc>
          <w:tcPr>
            <w:tcW w:type="dxa" w:w="7399"/>
          </w:tcPr>
          <w:p>
            <w:r>
              <w:rPr>
                <w:sz w:val="14"/>
              </w:rPr>
              <w:t>Alex Lew, reviewer and sign-off</w:t>
            </w:r>
          </w:p>
        </w:tc>
      </w:tr>
      <w:tr>
        <w:tc>
          <w:tcPr>
            <w:tcW w:type="dxa" w:w="7399"/>
            <w:shd w:val="clear" w:color="auto" w:fill="E9EDF1"/>
          </w:tcPr>
          <w:p>
            <w:r>
              <w:rPr>
                <w:b/>
                <w:sz w:val="14"/>
              </w:rPr>
              <w:t>Client approver (role)</w:t>
            </w:r>
          </w:p>
        </w:tc>
        <w:tc>
          <w:tcPr>
            <w:tcW w:type="dxa" w:w="7399"/>
          </w:tcPr>
          <w:p>
            <w:r>
              <w:rPr>
                <w:sz w:val="14"/>
              </w:rPr>
              <w:t>Head of Operations (DPO)</w:t>
            </w:r>
          </w:p>
        </w:tc>
      </w:tr>
      <w:tr>
        <w:tc>
          <w:tcPr>
            <w:tcW w:type="dxa" w:w="7399"/>
            <w:shd w:val="clear" w:color="auto" w:fill="E9EDF1"/>
          </w:tcPr>
          <w:p>
            <w:r>
              <w:rPr>
                <w:b/>
                <w:sz w:val="14"/>
              </w:rPr>
              <w:t>Label</w:t>
            </w:r>
          </w:p>
        </w:tc>
        <w:tc>
          <w:tcPr>
            <w:tcW w:type="dxa" w:w="7399"/>
          </w:tcPr>
          <w:p>
            <w:r>
              <w:rPr>
                <w:sz w:val="14"/>
              </w:rPr>
              <w:t>Fictional organisation, illustrative only, not a client case study</w:t>
            </w:r>
          </w:p>
        </w:tc>
      </w:tr>
    </w:tbl>
    <w:p/>
    <w:p>
      <w:pPr>
        <w:pStyle w:val="Heading2"/>
      </w:pPr>
      <w:r>
        <w:t>1. Why keep this log</w:t>
      </w:r>
    </w:p>
    <w:p>
      <w:r>
        <w:rPr/>
        <w:t>This log provides one place to see what changed in Quillmarrow’s data protection policies and procedures, why it changed, who approved it and how staff were told. It gives the DPO an approval history to show management, and helps the DPO respond to supplier questionnaires by identifying the current documents and their approval history.</w:t>
      </w:r>
    </w:p>
    <w:p>
      <w:r>
        <w:rPr/>
        <w:t>The table following this introduction records changes PC-01 to PC-10 for November 2026 to January 2027. It should be read alongside the underlying documents and the action tracker in C2. An entry in the log points to a change; the approved document and its supporting record remain the evidence of what was agreed.</w:t>
      </w:r>
    </w:p>
    <w:p>
      <w:pPr>
        <w:pStyle w:val="Heading2"/>
      </w:pPr>
      <w:r>
        <w:t>2. Rules</w:t>
      </w:r>
    </w:p>
    <w:p>
      <w:pPr>
        <w:pStyle w:val="ListBullet"/>
      </w:pPr>
      <w:r>
        <w:t>Record each change against the document ID and version. Use version numbers to distinguish the approved document from earlier and draft versions.</w:t>
      </w:r>
    </w:p>
    <w:p>
      <w:pPr>
        <w:pStyle w:val="ListBullet"/>
      </w:pPr>
      <w:r>
        <w:t>Obtain approval from the person responsible for that document, as set out in B16. No change is live until it has been approved.</w:t>
      </w:r>
    </w:p>
    <w:p>
      <w:pPr>
        <w:pStyle w:val="ListBullet"/>
      </w:pPr>
      <w:r>
        <w:t xml:space="preserve">Record how staff were told, such as through a Teams post or team briefing, or mark the entry </w:t>
      </w:r>
      <w:r>
        <w:rPr>
          <w:b/>
        </w:rPr>
        <w:t>“none needed”</w:t>
      </w:r>
      <w:r>
        <w:t xml:space="preserve"> where no communication is required.</w:t>
      </w:r>
    </w:p>
    <w:p>
      <w:pPr>
        <w:pStyle w:val="ListBullet"/>
      </w:pPr>
      <w:r>
        <w:t>Keep superseded versions under B8 so the organisation can trace what was in place before a change.</w:t>
      </w:r>
    </w:p>
    <w:p>
      <w:pPr>
        <w:pStyle w:val="ListBullet"/>
      </w:pPr>
      <w:r>
        <w:t>Record the reason for the change and any exceptions or outstanding decisions. The DPO maintains the log; document owners remain responsible for their own documents.</w:t>
      </w:r>
    </w:p>
    <w:p>
      <w:pPr>
        <w:pStyle w:val="Heading2"/>
      </w:pPr>
      <w:r>
        <w:t>3. Summary of the quarter</w:t>
      </w:r>
    </w:p>
    <w:p>
      <w:r>
        <w:rPr/>
        <w:t xml:space="preserve">The log records </w:t>
      </w:r>
      <w:r>
        <w:rPr>
          <w:b/>
        </w:rPr>
        <w:t>10 changes</w:t>
      </w:r>
      <w:r>
        <w:rPr/>
        <w:t xml:space="preserve">. The MD approved </w:t>
      </w:r>
      <w:r>
        <w:rPr>
          <w:b/>
        </w:rPr>
        <w:t>4</w:t>
      </w:r>
      <w:r>
        <w:rPr/>
        <w:t xml:space="preserve">, the DPO approved </w:t>
      </w:r>
      <w:r>
        <w:rPr>
          <w:b/>
        </w:rPr>
        <w:t>4</w:t>
      </w:r>
      <w:r>
        <w:rPr/>
        <w:t xml:space="preserve">, the Head of Marketing approved </w:t>
      </w:r>
      <w:r>
        <w:rPr>
          <w:b/>
        </w:rPr>
        <w:t>1</w:t>
      </w:r>
      <w:r>
        <w:rPr/>
        <w:t xml:space="preserve"> and the COO approved </w:t>
      </w:r>
      <w:r>
        <w:rPr>
          <w:b/>
        </w:rPr>
        <w:t>1</w:t>
      </w:r>
      <w:r>
        <w:rPr/>
        <w:t>.</w:t>
      </w:r>
    </w:p>
    <w:p>
      <w:r>
        <w:rPr/>
        <w:t xml:space="preserve">B8 v1.1 was approved on 18 December 2026, except for </w:t>
      </w:r>
      <w:r>
        <w:rPr>
          <w:b/>
        </w:rPr>
        <w:t>RS-02, RS-12 and RS-13</w:t>
      </w:r>
      <w:r>
        <w:rPr/>
        <w:t>, which were pending accountant and lawyer advice. Advice was received on 20 January 2027; the MD’s decision was on the agenda for 12 February 2027. The exception should remain visible in the January record rather than being treated as already resolved.</w:t>
      </w:r>
    </w:p>
    <w:p>
      <w:r>
        <w:rPr/>
        <w:t>The log follows.</w:t>
      </w:r>
    </w:p>
    <w:p>
      <w:pPr>
        <w:pStyle w:val="Heading2"/>
      </w:pPr>
      <w:r>
        <w:t>Change log (PC-01 to PC-10)</w:t>
      </w:r>
    </w:p>
    <w:tbl>
      <w:tblPr>
        <w:tblStyle w:val="TableGrid"/>
        <w:tblW w:type="auto" w:w="0"/>
        <w:tblLook w:firstColumn="1" w:firstRow="1" w:lastColumn="0" w:lastRow="0" w:noHBand="0" w:noVBand="1" w:val="04A0"/>
      </w:tblPr>
      <w:tblGrid>
        <w:gridCol w:w="1644"/>
        <w:gridCol w:w="1644"/>
        <w:gridCol w:w="1644"/>
        <w:gridCol w:w="1644"/>
        <w:gridCol w:w="1644"/>
        <w:gridCol w:w="1644"/>
        <w:gridCol w:w="1644"/>
        <w:gridCol w:w="1644"/>
        <w:gridCol w:w="1644"/>
      </w:tblGrid>
      <w:tr>
        <w:trPr>
          <w:tblHeader w:val="true"/>
        </w:trPr>
        <w:tc>
          <w:tcPr>
            <w:tcW w:type="dxa" w:w="1644"/>
            <w:shd w:val="clear" w:color="auto" w:fill="E9EDF1"/>
          </w:tcPr>
          <w:p>
            <w:r>
              <w:rPr>
                <w:b/>
                <w:sz w:val="14"/>
              </w:rPr>
              <w:t>ID</w:t>
            </w:r>
          </w:p>
        </w:tc>
        <w:tc>
          <w:tcPr>
            <w:tcW w:type="dxa" w:w="1644"/>
            <w:shd w:val="clear" w:color="auto" w:fill="E9EDF1"/>
          </w:tcPr>
          <w:p>
            <w:r>
              <w:rPr>
                <w:b/>
                <w:sz w:val="14"/>
              </w:rPr>
              <w:t>Date</w:t>
            </w:r>
          </w:p>
        </w:tc>
        <w:tc>
          <w:tcPr>
            <w:tcW w:type="dxa" w:w="1644"/>
            <w:shd w:val="clear" w:color="auto" w:fill="E9EDF1"/>
          </w:tcPr>
          <w:p>
            <w:r>
              <w:rPr>
                <w:b/>
                <w:sz w:val="14"/>
              </w:rPr>
              <w:t>Document</w:t>
            </w:r>
          </w:p>
        </w:tc>
        <w:tc>
          <w:tcPr>
            <w:tcW w:type="dxa" w:w="1644"/>
            <w:shd w:val="clear" w:color="auto" w:fill="E9EDF1"/>
          </w:tcPr>
          <w:p>
            <w:r>
              <w:rPr>
                <w:b/>
                <w:sz w:val="14"/>
              </w:rPr>
              <w:t>Version</w:t>
            </w:r>
          </w:p>
        </w:tc>
        <w:tc>
          <w:tcPr>
            <w:tcW w:type="dxa" w:w="1644"/>
            <w:shd w:val="clear" w:color="auto" w:fill="E9EDF1"/>
          </w:tcPr>
          <w:p>
            <w:r>
              <w:rPr>
                <w:b/>
                <w:sz w:val="14"/>
              </w:rPr>
              <w:t>Change</w:t>
            </w:r>
          </w:p>
        </w:tc>
        <w:tc>
          <w:tcPr>
            <w:tcW w:type="dxa" w:w="1644"/>
            <w:shd w:val="clear" w:color="auto" w:fill="E9EDF1"/>
          </w:tcPr>
          <w:p>
            <w:r>
              <w:rPr>
                <w:b/>
                <w:sz w:val="14"/>
              </w:rPr>
              <w:t>Reason</w:t>
            </w:r>
          </w:p>
        </w:tc>
        <w:tc>
          <w:tcPr>
            <w:tcW w:type="dxa" w:w="1644"/>
            <w:shd w:val="clear" w:color="auto" w:fill="E9EDF1"/>
          </w:tcPr>
          <w:p>
            <w:r>
              <w:rPr>
                <w:b/>
                <w:sz w:val="14"/>
              </w:rPr>
              <w:t>Approver</w:t>
            </w:r>
          </w:p>
        </w:tc>
        <w:tc>
          <w:tcPr>
            <w:tcW w:type="dxa" w:w="1644"/>
            <w:shd w:val="clear" w:color="auto" w:fill="E9EDF1"/>
          </w:tcPr>
          <w:p>
            <w:r>
              <w:rPr>
                <w:b/>
                <w:sz w:val="14"/>
              </w:rPr>
              <w:t>Staff communication</w:t>
            </w:r>
          </w:p>
        </w:tc>
        <w:tc>
          <w:tcPr>
            <w:tcW w:type="dxa" w:w="1644"/>
            <w:shd w:val="clear" w:color="auto" w:fill="E9EDF1"/>
          </w:tcPr>
          <w:p>
            <w:r>
              <w:rPr>
                <w:b/>
                <w:sz w:val="14"/>
              </w:rPr>
              <w:t>Next review</w:t>
            </w:r>
          </w:p>
        </w:tc>
      </w:tr>
      <w:tr>
        <w:tc>
          <w:tcPr>
            <w:tcW w:type="dxa" w:w="1644"/>
          </w:tcPr>
          <w:p>
            <w:r>
              <w:rPr>
                <w:sz w:val="14"/>
              </w:rPr>
              <w:t>PC-01</w:t>
            </w:r>
          </w:p>
        </w:tc>
        <w:tc>
          <w:tcPr>
            <w:tcW w:type="dxa" w:w="1644"/>
          </w:tcPr>
          <w:p>
            <w:r>
              <w:rPr>
                <w:sz w:val="14"/>
              </w:rPr>
              <w:t>13 Nov 2026</w:t>
            </w:r>
          </w:p>
        </w:tc>
        <w:tc>
          <w:tcPr>
            <w:tcW w:type="dxa" w:w="1644"/>
          </w:tcPr>
          <w:p>
            <w:r>
              <w:rPr>
                <w:sz w:val="14"/>
              </w:rPr>
              <w:t>B11 Breach management plan</w:t>
            </w:r>
          </w:p>
        </w:tc>
        <w:tc>
          <w:tcPr>
            <w:tcW w:type="dxa" w:w="1644"/>
          </w:tcPr>
          <w:p>
            <w:r>
              <w:rPr>
                <w:sz w:val="14"/>
              </w:rPr>
              <w:t>v1.0</w:t>
            </w:r>
          </w:p>
        </w:tc>
        <w:tc>
          <w:tcPr>
            <w:tcW w:type="dxa" w:w="1644"/>
          </w:tcPr>
          <w:p>
            <w:r>
              <w:rPr>
                <w:sz w:val="14"/>
              </w:rPr>
              <w:t>The breach management plan from the handover pack was adopted and issued to the incident team.</w:t>
            </w:r>
          </w:p>
        </w:tc>
        <w:tc>
          <w:tcPr>
            <w:tcW w:type="dxa" w:w="1644"/>
          </w:tcPr>
          <w:p>
            <w:r>
              <w:rPr>
                <w:sz w:val="14"/>
              </w:rPr>
              <w:t>Addressed G-10 by establishing the incident record and separate decision log.</w:t>
            </w:r>
          </w:p>
        </w:tc>
        <w:tc>
          <w:tcPr>
            <w:tcW w:type="dxa" w:w="1644"/>
          </w:tcPr>
          <w:p>
            <w:r>
              <w:rPr>
                <w:sz w:val="14"/>
              </w:rPr>
              <w:t>MD</w:t>
            </w:r>
          </w:p>
        </w:tc>
        <w:tc>
          <w:tcPr>
            <w:tcW w:type="dxa" w:w="1644"/>
          </w:tcPr>
          <w:p>
            <w:r>
              <w:rPr>
                <w:sz w:val="14"/>
              </w:rPr>
              <w:t>Teams post to relevant staff, 13 Nov 2026</w:t>
            </w:r>
          </w:p>
        </w:tc>
        <w:tc>
          <w:tcPr>
            <w:tcW w:type="dxa" w:w="1644"/>
          </w:tcPr>
          <w:p>
            <w:r>
              <w:rPr>
                <w:sz w:val="14"/>
              </w:rPr>
              <w:t>After the January 2027 drill; v1.1 in progress under DA-14</w:t>
            </w:r>
          </w:p>
        </w:tc>
      </w:tr>
      <w:tr>
        <w:tc>
          <w:tcPr>
            <w:tcW w:type="dxa" w:w="1644"/>
          </w:tcPr>
          <w:p>
            <w:r>
              <w:rPr>
                <w:sz w:val="14"/>
              </w:rPr>
              <w:t>PC-02</w:t>
            </w:r>
          </w:p>
        </w:tc>
        <w:tc>
          <w:tcPr>
            <w:tcW w:type="dxa" w:w="1644"/>
          </w:tcPr>
          <w:p>
            <w:r>
              <w:rPr>
                <w:sz w:val="14"/>
              </w:rPr>
              <w:t>13 Nov 2026</w:t>
            </w:r>
          </w:p>
        </w:tc>
        <w:tc>
          <w:tcPr>
            <w:tcW w:type="dxa" w:w="1644"/>
          </w:tcPr>
          <w:p>
            <w:r>
              <w:rPr>
                <w:sz w:val="14"/>
              </w:rPr>
              <w:t>B4 Website privacy notice</w:t>
            </w:r>
          </w:p>
        </w:tc>
        <w:tc>
          <w:tcPr>
            <w:tcW w:type="dxa" w:w="1644"/>
          </w:tcPr>
          <w:p>
            <w:r>
              <w:rPr>
                <w:sz w:val="14"/>
              </w:rPr>
              <w:t>v1.1</w:t>
            </w:r>
          </w:p>
        </w:tc>
        <w:tc>
          <w:tcPr>
            <w:tcW w:type="dxa" w:w="1644"/>
          </w:tcPr>
          <w:p>
            <w:r>
              <w:rPr>
                <w:sz w:val="14"/>
              </w:rPr>
              <w:t>The updated website privacy notice was published.</w:t>
            </w:r>
          </w:p>
        </w:tc>
        <w:tc>
          <w:tcPr>
            <w:tcW w:type="dxa" w:w="1644"/>
          </w:tcPr>
          <w:p>
            <w:r>
              <w:rPr>
                <w:sz w:val="14"/>
              </w:rPr>
              <w:t>Addressed G-04 and the notice actions recorded in B2.</w:t>
            </w:r>
          </w:p>
        </w:tc>
        <w:tc>
          <w:tcPr>
            <w:tcW w:type="dxa" w:w="1644"/>
          </w:tcPr>
          <w:p>
            <w:r>
              <w:rPr>
                <w:sz w:val="14"/>
              </w:rPr>
              <w:t>DPO</w:t>
            </w:r>
          </w:p>
        </w:tc>
        <w:tc>
          <w:tcPr>
            <w:tcW w:type="dxa" w:w="1644"/>
          </w:tcPr>
          <w:p>
            <w:r>
              <w:rPr>
                <w:sz w:val="14"/>
              </w:rPr>
              <w:t>Teams post to relevant staff, 13 Nov 2026</w:t>
            </w:r>
          </w:p>
        </w:tc>
        <w:tc>
          <w:tcPr>
            <w:tcW w:type="dxa" w:w="1644"/>
          </w:tcPr>
          <w:p>
            <w:r>
              <w:rPr>
                <w:sz w:val="14"/>
              </w:rPr>
              <w:t>November 2027</w:t>
            </w:r>
          </w:p>
        </w:tc>
      </w:tr>
      <w:tr>
        <w:tc>
          <w:tcPr>
            <w:tcW w:type="dxa" w:w="1644"/>
          </w:tcPr>
          <w:p>
            <w:r>
              <w:rPr>
                <w:sz w:val="14"/>
              </w:rPr>
              <w:t>PC-03</w:t>
            </w:r>
          </w:p>
        </w:tc>
        <w:tc>
          <w:tcPr>
            <w:tcW w:type="dxa" w:w="1644"/>
          </w:tcPr>
          <w:p>
            <w:r>
              <w:rPr>
                <w:sz w:val="14"/>
              </w:rPr>
              <w:t>20 Nov 2026</w:t>
            </w:r>
          </w:p>
        </w:tc>
        <w:tc>
          <w:tcPr>
            <w:tcW w:type="dxa" w:w="1644"/>
          </w:tcPr>
          <w:p>
            <w:r>
              <w:rPr>
                <w:sz w:val="14"/>
              </w:rPr>
              <w:t>B5 Data protection policy</w:t>
            </w:r>
          </w:p>
        </w:tc>
        <w:tc>
          <w:tcPr>
            <w:tcW w:type="dxa" w:w="1644"/>
          </w:tcPr>
          <w:p>
            <w:r>
              <w:rPr>
                <w:sz w:val="14"/>
              </w:rPr>
              <w:t>v1.0</w:t>
            </w:r>
          </w:p>
        </w:tc>
        <w:tc>
          <w:tcPr>
            <w:tcW w:type="dxa" w:w="1644"/>
          </w:tcPr>
          <w:p>
            <w:r>
              <w:rPr>
                <w:sz w:val="14"/>
              </w:rPr>
              <w:t>The data protection policy was approved.</w:t>
            </w:r>
          </w:p>
        </w:tc>
        <w:tc>
          <w:tcPr>
            <w:tcW w:type="dxa" w:w="1644"/>
          </w:tcPr>
          <w:p>
            <w:r>
              <w:rPr>
                <w:sz w:val="14"/>
              </w:rPr>
              <w:t>Addressed G-01 by documenting the programme policy.</w:t>
            </w:r>
          </w:p>
        </w:tc>
        <w:tc>
          <w:tcPr>
            <w:tcW w:type="dxa" w:w="1644"/>
          </w:tcPr>
          <w:p>
            <w:r>
              <w:rPr>
                <w:sz w:val="14"/>
              </w:rPr>
              <w:t>MD</w:t>
            </w:r>
          </w:p>
        </w:tc>
        <w:tc>
          <w:tcPr>
            <w:tcW w:type="dxa" w:w="1644"/>
          </w:tcPr>
          <w:p>
            <w:r>
              <w:rPr>
                <w:sz w:val="14"/>
              </w:rPr>
              <w:t>Team briefing, 20 Nov 2026</w:t>
            </w:r>
          </w:p>
        </w:tc>
        <w:tc>
          <w:tcPr>
            <w:tcW w:type="dxa" w:w="1644"/>
          </w:tcPr>
          <w:p>
            <w:r>
              <w:rPr>
                <w:sz w:val="14"/>
              </w:rPr>
              <w:t>November 2027</w:t>
            </w:r>
          </w:p>
        </w:tc>
      </w:tr>
      <w:tr>
        <w:tc>
          <w:tcPr>
            <w:tcW w:type="dxa" w:w="1644"/>
          </w:tcPr>
          <w:p>
            <w:r>
              <w:rPr>
                <w:sz w:val="14"/>
              </w:rPr>
              <w:t>PC-04</w:t>
            </w:r>
          </w:p>
        </w:tc>
        <w:tc>
          <w:tcPr>
            <w:tcW w:type="dxa" w:w="1644"/>
          </w:tcPr>
          <w:p>
            <w:r>
              <w:rPr>
                <w:sz w:val="14"/>
              </w:rPr>
              <w:t>20 Nov 2026</w:t>
            </w:r>
          </w:p>
        </w:tc>
        <w:tc>
          <w:tcPr>
            <w:tcW w:type="dxa" w:w="1644"/>
          </w:tcPr>
          <w:p>
            <w:r>
              <w:rPr>
                <w:sz w:val="14"/>
              </w:rPr>
              <w:t>B12 Do Not Call procedure</w:t>
            </w:r>
          </w:p>
        </w:tc>
        <w:tc>
          <w:tcPr>
            <w:tcW w:type="dxa" w:w="1644"/>
          </w:tcPr>
          <w:p>
            <w:r>
              <w:rPr>
                <w:sz w:val="14"/>
              </w:rPr>
              <w:t>v1.0</w:t>
            </w:r>
          </w:p>
        </w:tc>
        <w:tc>
          <w:tcPr>
            <w:tcW w:type="dxa" w:w="1644"/>
          </w:tcPr>
          <w:p>
            <w:r>
              <w:rPr>
                <w:sz w:val="14"/>
              </w:rPr>
              <w:t>The DNC procedure was approved.</w:t>
            </w:r>
          </w:p>
        </w:tc>
        <w:tc>
          <w:tcPr>
            <w:tcW w:type="dxa" w:w="1644"/>
          </w:tcPr>
          <w:p>
            <w:r>
              <w:rPr>
                <w:sz w:val="14"/>
              </w:rPr>
              <w:t>Addressed G-11 and established the process for the planned telemarketing campaign.</w:t>
            </w:r>
          </w:p>
        </w:tc>
        <w:tc>
          <w:tcPr>
            <w:tcW w:type="dxa" w:w="1644"/>
          </w:tcPr>
          <w:p>
            <w:r>
              <w:rPr>
                <w:sz w:val="14"/>
              </w:rPr>
              <w:t>Head of Marketing</w:t>
            </w:r>
          </w:p>
        </w:tc>
        <w:tc>
          <w:tcPr>
            <w:tcW w:type="dxa" w:w="1644"/>
          </w:tcPr>
          <w:p>
            <w:r>
              <w:rPr>
                <w:sz w:val="14"/>
              </w:rPr>
              <w:t>Team briefing, 20 Nov 2026</w:t>
            </w:r>
          </w:p>
        </w:tc>
        <w:tc>
          <w:tcPr>
            <w:tcW w:type="dxa" w:w="1644"/>
          </w:tcPr>
          <w:p>
            <w:r>
              <w:rPr>
                <w:sz w:val="14"/>
              </w:rPr>
              <w:t>November 2027</w:t>
            </w:r>
          </w:p>
        </w:tc>
      </w:tr>
      <w:tr>
        <w:tc>
          <w:tcPr>
            <w:tcW w:type="dxa" w:w="1644"/>
          </w:tcPr>
          <w:p>
            <w:r>
              <w:rPr>
                <w:sz w:val="14"/>
              </w:rPr>
              <w:t>PC-05</w:t>
            </w:r>
          </w:p>
        </w:tc>
        <w:tc>
          <w:tcPr>
            <w:tcW w:type="dxa" w:w="1644"/>
          </w:tcPr>
          <w:p>
            <w:r>
              <w:rPr>
                <w:sz w:val="14"/>
              </w:rPr>
              <w:t>27 Nov 2026</w:t>
            </w:r>
          </w:p>
        </w:tc>
        <w:tc>
          <w:tcPr>
            <w:tcW w:type="dxa" w:w="1644"/>
          </w:tcPr>
          <w:p>
            <w:r>
              <w:rPr>
                <w:sz w:val="14"/>
              </w:rPr>
              <w:t>B5 Data protection policy, annex A</w:t>
            </w:r>
          </w:p>
        </w:tc>
        <w:tc>
          <w:tcPr>
            <w:tcW w:type="dxa" w:w="1644"/>
          </w:tcPr>
          <w:p>
            <w:r>
              <w:rPr>
                <w:sz w:val="14"/>
              </w:rPr>
              <w:t>v1.0 to v1.1</w:t>
            </w:r>
          </w:p>
        </w:tc>
        <w:tc>
          <w:tcPr>
            <w:tcW w:type="dxa" w:w="1644"/>
          </w:tcPr>
          <w:p>
            <w:r>
              <w:rPr>
                <w:sz w:val="14"/>
              </w:rPr>
              <w:t>The complaints process was added as annex A.</w:t>
            </w:r>
          </w:p>
        </w:tc>
        <w:tc>
          <w:tcPr>
            <w:tcW w:type="dxa" w:w="1644"/>
          </w:tcPr>
          <w:p>
            <w:r>
              <w:rPr>
                <w:sz w:val="14"/>
              </w:rPr>
              <w:t>Addressed the complaints-process action under G-01.</w:t>
            </w:r>
          </w:p>
        </w:tc>
        <w:tc>
          <w:tcPr>
            <w:tcW w:type="dxa" w:w="1644"/>
          </w:tcPr>
          <w:p>
            <w:r>
              <w:rPr>
                <w:sz w:val="14"/>
              </w:rPr>
              <w:t>DPO</w:t>
            </w:r>
          </w:p>
        </w:tc>
        <w:tc>
          <w:tcPr>
            <w:tcW w:type="dxa" w:w="1644"/>
          </w:tcPr>
          <w:p>
            <w:r>
              <w:rPr>
                <w:sz w:val="14"/>
              </w:rPr>
              <w:t>Teams post to relevant staff, 27 Nov 2026</w:t>
            </w:r>
          </w:p>
        </w:tc>
        <w:tc>
          <w:tcPr>
            <w:tcW w:type="dxa" w:w="1644"/>
          </w:tcPr>
          <w:p>
            <w:r>
              <w:rPr>
                <w:sz w:val="14"/>
              </w:rPr>
              <w:t>November 2027</w:t>
            </w:r>
          </w:p>
        </w:tc>
      </w:tr>
      <w:tr>
        <w:tc>
          <w:tcPr>
            <w:tcW w:type="dxa" w:w="1644"/>
          </w:tcPr>
          <w:p>
            <w:r>
              <w:rPr>
                <w:sz w:val="14"/>
              </w:rPr>
              <w:t>PC-06</w:t>
            </w:r>
          </w:p>
        </w:tc>
        <w:tc>
          <w:tcPr>
            <w:tcW w:type="dxa" w:w="1644"/>
          </w:tcPr>
          <w:p>
            <w:r>
              <w:rPr>
                <w:sz w:val="14"/>
              </w:rPr>
              <w:t>9 Dec 2026</w:t>
            </w:r>
          </w:p>
        </w:tc>
        <w:tc>
          <w:tcPr>
            <w:tcW w:type="dxa" w:w="1644"/>
          </w:tcPr>
          <w:p>
            <w:r>
              <w:rPr>
                <w:sz w:val="14"/>
              </w:rPr>
              <w:t>B4 Job-application, showroom sign-up and CCTV notices</w:t>
            </w:r>
          </w:p>
        </w:tc>
        <w:tc>
          <w:tcPr>
            <w:tcW w:type="dxa" w:w="1644"/>
          </w:tcPr>
          <w:p>
            <w:r>
              <w:rPr>
                <w:sz w:val="14"/>
              </w:rPr>
              <w:t>v1.1</w:t>
            </w:r>
          </w:p>
        </w:tc>
        <w:tc>
          <w:tcPr>
            <w:tcW w:type="dxa" w:w="1644"/>
          </w:tcPr>
          <w:p>
            <w:r>
              <w:rPr>
                <w:sz w:val="14"/>
              </w:rPr>
              <w:t>B4 v1.1 brings together the job-application notice (in use from 20 Nov 2026) and the showroom sign-up notice (from 2 Dec 2026), and adds the CCTV signage installed on 9 Dec 2026.</w:t>
            </w:r>
          </w:p>
        </w:tc>
        <w:tc>
          <w:tcPr>
            <w:tcW w:type="dxa" w:w="1644"/>
          </w:tcPr>
          <w:p>
            <w:r>
              <w:rPr>
                <w:sz w:val="14"/>
              </w:rPr>
              <w:t>Closed G-04 on 9 Dec 2026, within the revised date of 11 Dec 2026 agreed by the COO.</w:t>
            </w:r>
          </w:p>
        </w:tc>
        <w:tc>
          <w:tcPr>
            <w:tcW w:type="dxa" w:w="1644"/>
          </w:tcPr>
          <w:p>
            <w:r>
              <w:rPr>
                <w:sz w:val="14"/>
              </w:rPr>
              <w:t>DPO</w:t>
            </w:r>
          </w:p>
        </w:tc>
        <w:tc>
          <w:tcPr>
            <w:tcW w:type="dxa" w:w="1644"/>
          </w:tcPr>
          <w:p>
            <w:r>
              <w:rPr>
                <w:sz w:val="14"/>
              </w:rPr>
              <w:t>Team briefing, 9 Dec 2026</w:t>
            </w:r>
          </w:p>
        </w:tc>
        <w:tc>
          <w:tcPr>
            <w:tcW w:type="dxa" w:w="1644"/>
          </w:tcPr>
          <w:p>
            <w:r>
              <w:rPr>
                <w:sz w:val="14"/>
              </w:rPr>
              <w:t>December 2027</w:t>
            </w:r>
          </w:p>
        </w:tc>
      </w:tr>
      <w:tr>
        <w:tc>
          <w:tcPr>
            <w:tcW w:type="dxa" w:w="1644"/>
          </w:tcPr>
          <w:p>
            <w:r>
              <w:rPr>
                <w:sz w:val="14"/>
              </w:rPr>
              <w:t>PC-07</w:t>
            </w:r>
          </w:p>
        </w:tc>
        <w:tc>
          <w:tcPr>
            <w:tcW w:type="dxa" w:w="1644"/>
          </w:tcPr>
          <w:p>
            <w:r>
              <w:rPr>
                <w:sz w:val="14"/>
              </w:rPr>
              <w:t>10 Dec 2026</w:t>
            </w:r>
          </w:p>
        </w:tc>
        <w:tc>
          <w:tcPr>
            <w:tcW w:type="dxa" w:w="1644"/>
          </w:tcPr>
          <w:p>
            <w:r>
              <w:rPr>
                <w:sz w:val="14"/>
              </w:rPr>
              <w:t>B5 Data protection policy, annex B</w:t>
            </w:r>
          </w:p>
        </w:tc>
        <w:tc>
          <w:tcPr>
            <w:tcW w:type="dxa" w:w="1644"/>
          </w:tcPr>
          <w:p>
            <w:r>
              <w:rPr>
                <w:sz w:val="14"/>
              </w:rPr>
              <w:t>v1.1 to v1.2</w:t>
            </w:r>
          </w:p>
        </w:tc>
        <w:tc>
          <w:tcPr>
            <w:tcW w:type="dxa" w:w="1644"/>
          </w:tcPr>
          <w:p>
            <w:r>
              <w:rPr>
                <w:sz w:val="14"/>
              </w:rPr>
              <w:t>The CCTV purpose and access statement was added as annex B; use for staff matters requires prior review by the DPO and HR Manager.</w:t>
            </w:r>
          </w:p>
        </w:tc>
        <w:tc>
          <w:tcPr>
            <w:tcW w:type="dxa" w:w="1644"/>
          </w:tcPr>
          <w:p>
            <w:r>
              <w:rPr>
                <w:sz w:val="14"/>
              </w:rPr>
              <w:t>Addressed G-03 and set a review route for use of CCTV in staff matters.</w:t>
            </w:r>
          </w:p>
        </w:tc>
        <w:tc>
          <w:tcPr>
            <w:tcW w:type="dxa" w:w="1644"/>
          </w:tcPr>
          <w:p>
            <w:r>
              <w:rPr>
                <w:sz w:val="14"/>
              </w:rPr>
              <w:t>MD</w:t>
            </w:r>
          </w:p>
        </w:tc>
        <w:tc>
          <w:tcPr>
            <w:tcW w:type="dxa" w:w="1644"/>
          </w:tcPr>
          <w:p>
            <w:r>
              <w:rPr>
                <w:sz w:val="14"/>
              </w:rPr>
              <w:t>Teams post to relevant staff, 10 Dec 2026</w:t>
            </w:r>
          </w:p>
        </w:tc>
        <w:tc>
          <w:tcPr>
            <w:tcW w:type="dxa" w:w="1644"/>
          </w:tcPr>
          <w:p>
            <w:r>
              <w:rPr>
                <w:sz w:val="14"/>
              </w:rPr>
              <w:t>December 2027</w:t>
            </w:r>
          </w:p>
        </w:tc>
      </w:tr>
      <w:tr>
        <w:tc>
          <w:tcPr>
            <w:tcW w:type="dxa" w:w="1644"/>
          </w:tcPr>
          <w:p>
            <w:r>
              <w:rPr>
                <w:sz w:val="14"/>
              </w:rPr>
              <w:t>PC-08</w:t>
            </w:r>
          </w:p>
        </w:tc>
        <w:tc>
          <w:tcPr>
            <w:tcW w:type="dxa" w:w="1644"/>
          </w:tcPr>
          <w:p>
            <w:r>
              <w:rPr>
                <w:sz w:val="14"/>
              </w:rPr>
              <w:t>18 Dec 2026</w:t>
            </w:r>
          </w:p>
        </w:tc>
        <w:tc>
          <w:tcPr>
            <w:tcW w:type="dxa" w:w="1644"/>
          </w:tcPr>
          <w:p>
            <w:r>
              <w:rPr>
                <w:sz w:val="14"/>
              </w:rPr>
              <w:t>B8 Retention schedule</w:t>
            </w:r>
          </w:p>
        </w:tc>
        <w:tc>
          <w:tcPr>
            <w:tcW w:type="dxa" w:w="1644"/>
          </w:tcPr>
          <w:p>
            <w:r>
              <w:rPr>
                <w:sz w:val="14"/>
              </w:rPr>
              <w:t>v1.1</w:t>
            </w:r>
          </w:p>
        </w:tc>
        <w:tc>
          <w:tcPr>
            <w:tcW w:type="dxa" w:w="1644"/>
          </w:tcPr>
          <w:p>
            <w:r>
              <w:rPr>
                <w:sz w:val="14"/>
              </w:rPr>
              <w:t>The MD approved the retention schedule except for RS-02, RS-12 and RS-13, which remain awaiting confirmation.</w:t>
            </w:r>
          </w:p>
        </w:tc>
        <w:tc>
          <w:tcPr>
            <w:tcW w:type="dxa" w:w="1644"/>
          </w:tcPr>
          <w:p>
            <w:r>
              <w:rPr>
                <w:sz w:val="14"/>
              </w:rPr>
              <w:t>Addressed G-08; the three outstanding retention decisions are tracked in DA-08.</w:t>
            </w:r>
          </w:p>
        </w:tc>
        <w:tc>
          <w:tcPr>
            <w:tcW w:type="dxa" w:w="1644"/>
          </w:tcPr>
          <w:p>
            <w:r>
              <w:rPr>
                <w:sz w:val="14"/>
              </w:rPr>
              <w:t>MD</w:t>
            </w:r>
          </w:p>
        </w:tc>
        <w:tc>
          <w:tcPr>
            <w:tcW w:type="dxa" w:w="1644"/>
          </w:tcPr>
          <w:p>
            <w:r>
              <w:rPr>
                <w:sz w:val="14"/>
              </w:rPr>
              <w:t>Teams post to relevant staff, 18 Dec 2026</w:t>
            </w:r>
          </w:p>
        </w:tc>
        <w:tc>
          <w:tcPr>
            <w:tcW w:type="dxa" w:w="1644"/>
          </w:tcPr>
          <w:p>
            <w:r>
              <w:rPr>
                <w:sz w:val="14"/>
              </w:rPr>
              <w:t>When the MD decides RS-02, RS-12 and RS-13 (DA-08)</w:t>
            </w:r>
          </w:p>
        </w:tc>
      </w:tr>
      <w:tr>
        <w:tc>
          <w:tcPr>
            <w:tcW w:type="dxa" w:w="1644"/>
          </w:tcPr>
          <w:p>
            <w:r>
              <w:rPr>
                <w:sz w:val="14"/>
              </w:rPr>
              <w:t>PC-09</w:t>
            </w:r>
          </w:p>
        </w:tc>
        <w:tc>
          <w:tcPr>
            <w:tcW w:type="dxa" w:w="1644"/>
          </w:tcPr>
          <w:p>
            <w:r>
              <w:rPr>
                <w:sz w:val="14"/>
              </w:rPr>
              <w:t>13 Jan 2027</w:t>
            </w:r>
          </w:p>
        </w:tc>
        <w:tc>
          <w:tcPr>
            <w:tcW w:type="dxa" w:w="1644"/>
          </w:tcPr>
          <w:p>
            <w:r>
              <w:rPr>
                <w:sz w:val="14"/>
              </w:rPr>
              <w:t>B7 Access and correction procedure</w:t>
            </w:r>
          </w:p>
        </w:tc>
        <w:tc>
          <w:tcPr>
            <w:tcW w:type="dxa" w:w="1644"/>
          </w:tcPr>
          <w:p>
            <w:r>
              <w:rPr>
                <w:sz w:val="14"/>
              </w:rPr>
              <w:t>v1.0 to v1.1</w:t>
            </w:r>
          </w:p>
        </w:tc>
        <w:tc>
          <w:tcPr>
            <w:tcW w:type="dxa" w:w="1644"/>
          </w:tcPr>
          <w:p>
            <w:r>
              <w:rPr>
                <w:sz w:val="14"/>
              </w:rPr>
              <w:t>The procedure was updated to require partner request forwarding within one working day and shared mailboxes to forward request-like emails to the DPO.</w:t>
            </w:r>
          </w:p>
        </w:tc>
        <w:tc>
          <w:tcPr>
            <w:tcW w:type="dxa" w:w="1644"/>
          </w:tcPr>
          <w:p>
            <w:r>
              <w:rPr>
                <w:sz w:val="14"/>
              </w:rPr>
              <w:t>Followed the AR-06 forwarding delay (DA-05) and the AR-13 late acknowledgement.</w:t>
            </w:r>
          </w:p>
        </w:tc>
        <w:tc>
          <w:tcPr>
            <w:tcW w:type="dxa" w:w="1644"/>
          </w:tcPr>
          <w:p>
            <w:r>
              <w:rPr>
                <w:sz w:val="14"/>
              </w:rPr>
              <w:t>DPO</w:t>
            </w:r>
          </w:p>
        </w:tc>
        <w:tc>
          <w:tcPr>
            <w:tcW w:type="dxa" w:w="1644"/>
          </w:tcPr>
          <w:p>
            <w:r>
              <w:rPr>
                <w:sz w:val="14"/>
              </w:rPr>
              <w:t>Teams post to relevant staff, 13 Jan 2027</w:t>
            </w:r>
          </w:p>
        </w:tc>
        <w:tc>
          <w:tcPr>
            <w:tcW w:type="dxa" w:w="1644"/>
          </w:tcPr>
          <w:p>
            <w:r>
              <w:rPr>
                <w:sz w:val="14"/>
              </w:rPr>
              <w:t>January 2028</w:t>
            </w:r>
          </w:p>
        </w:tc>
      </w:tr>
      <w:tr>
        <w:tc>
          <w:tcPr>
            <w:tcW w:type="dxa" w:w="1644"/>
          </w:tcPr>
          <w:p>
            <w:r>
              <w:rPr>
                <w:sz w:val="14"/>
              </w:rPr>
              <w:t>PC-10</w:t>
            </w:r>
          </w:p>
        </w:tc>
        <w:tc>
          <w:tcPr>
            <w:tcW w:type="dxa" w:w="1644"/>
          </w:tcPr>
          <w:p>
            <w:r>
              <w:rPr>
                <w:sz w:val="14"/>
              </w:rPr>
              <w:t>20 Jan 2027</w:t>
            </w:r>
          </w:p>
        </w:tc>
        <w:tc>
          <w:tcPr>
            <w:tcW w:type="dxa" w:w="1644"/>
          </w:tcPr>
          <w:p>
            <w:r>
              <w:rPr>
                <w:sz w:val="14"/>
              </w:rPr>
              <w:t>B9 Vendor and data-intermediary checklist</w:t>
            </w:r>
          </w:p>
        </w:tc>
        <w:tc>
          <w:tcPr>
            <w:tcW w:type="dxa" w:w="1644"/>
          </w:tcPr>
          <w:p>
            <w:r>
              <w:rPr>
                <w:sz w:val="14"/>
              </w:rPr>
              <w:t>v1.0 to v1.1</w:t>
            </w:r>
          </w:p>
        </w:tc>
        <w:tc>
          <w:tcPr>
            <w:tcW w:type="dxa" w:w="1644"/>
          </w:tcPr>
          <w:p>
            <w:r>
              <w:rPr>
                <w:sz w:val="14"/>
              </w:rPr>
              <w:t>The DV-04 record and its pilot conditions were added.</w:t>
            </w:r>
          </w:p>
        </w:tc>
        <w:tc>
          <w:tcPr>
            <w:tcW w:type="dxa" w:w="1644"/>
          </w:tcPr>
          <w:p>
            <w:r>
              <w:rPr>
                <w:sz w:val="14"/>
              </w:rPr>
              <w:t>Recorded the vendor review and conditional pilot decision for DV-04; conditions are tracked in DA-13.</w:t>
            </w:r>
          </w:p>
        </w:tc>
        <w:tc>
          <w:tcPr>
            <w:tcW w:type="dxa" w:w="1644"/>
          </w:tcPr>
          <w:p>
            <w:r>
              <w:rPr>
                <w:sz w:val="14"/>
              </w:rPr>
              <w:t>COO</w:t>
            </w:r>
          </w:p>
        </w:tc>
        <w:tc>
          <w:tcPr>
            <w:tcW w:type="dxa" w:w="1644"/>
          </w:tcPr>
          <w:p>
            <w:r>
              <w:rPr>
                <w:sz w:val="14"/>
              </w:rPr>
              <w:t>Team briefing, 20 Jan 2027</w:t>
            </w:r>
          </w:p>
        </w:tc>
        <w:tc>
          <w:tcPr>
            <w:tcW w:type="dxa" w:w="1644"/>
          </w:tcPr>
          <w:p>
            <w:r>
              <w:rPr>
                <w:sz w:val="14"/>
              </w:rPr>
              <w:t>Before the DV-04 pilot starts (DA-13)</w:t>
            </w:r>
          </w:p>
        </w:tc>
      </w:tr>
    </w:tbl>
    <w:p/>
    <w:p>
      <w:pPr>
        <w:pStyle w:val="Heading2"/>
      </w:pPr>
      <w:r>
        <w:t>Review and sign-off</w:t>
      </w:r>
    </w:p>
    <w:tbl>
      <w:tblPr>
        <w:tblStyle w:val="TableGrid"/>
        <w:tblW w:type="auto" w:w="0"/>
        <w:tblLook w:firstColumn="1" w:firstRow="1" w:lastColumn="0" w:lastRow="0" w:noHBand="0" w:noVBand="1" w:val="04A0"/>
      </w:tblPr>
      <w:tblGrid>
        <w:gridCol w:w="4933"/>
        <w:gridCol w:w="4933"/>
        <w:gridCol w:w="4933"/>
      </w:tblGrid>
      <w:tr>
        <w:trPr>
          <w:tblHeader w:val="true"/>
        </w:trPr>
        <w:tc>
          <w:tcPr>
            <w:tcW w:type="dxa" w:w="4933"/>
            <w:shd w:val="clear" w:color="auto" w:fill="E9EDF1"/>
          </w:tcPr>
          <w:p>
            <w:r>
              <w:rPr>
                <w:b/>
                <w:sz w:val="14"/>
              </w:rPr>
              <w:t>Step</w:t>
            </w:r>
          </w:p>
        </w:tc>
        <w:tc>
          <w:tcPr>
            <w:tcW w:type="dxa" w:w="4933"/>
            <w:shd w:val="clear" w:color="auto" w:fill="E9EDF1"/>
          </w:tcPr>
          <w:p>
            <w:r>
              <w:rPr>
                <w:b/>
                <w:sz w:val="14"/>
              </w:rPr>
              <w:t>Who</w:t>
            </w:r>
          </w:p>
        </w:tc>
        <w:tc>
          <w:tcPr>
            <w:tcW w:type="dxa" w:w="4933"/>
            <w:shd w:val="clear" w:color="auto" w:fill="E9EDF1"/>
          </w:tcPr>
          <w:p>
            <w:r>
              <w:rPr>
                <w:b/>
                <w:sz w:val="14"/>
              </w:rPr>
              <w:t>Date</w:t>
            </w:r>
          </w:p>
        </w:tc>
      </w:tr>
      <w:tr>
        <w:tc>
          <w:tcPr>
            <w:tcW w:type="dxa" w:w="4933"/>
          </w:tcPr>
          <w:p>
            <w:r>
              <w:rPr>
                <w:sz w:val="14"/>
              </w:rPr>
              <w:t>Log entries checked against the approved documents</w:t>
            </w:r>
          </w:p>
        </w:tc>
        <w:tc>
          <w:tcPr>
            <w:tcW w:type="dxa" w:w="4933"/>
          </w:tcPr>
          <w:p>
            <w:r>
              <w:rPr>
                <w:sz w:val="14"/>
              </w:rPr>
              <w:t>Head of Operations (DPO)</w:t>
            </w:r>
          </w:p>
        </w:tc>
        <w:tc>
          <w:tcPr>
            <w:tcW w:type="dxa" w:w="4933"/>
          </w:tcPr>
          <w:p>
            <w:r>
              <w:rPr>
                <w:sz w:val="14"/>
              </w:rPr>
              <w:t>31 January 2027</w:t>
            </w:r>
          </w:p>
        </w:tc>
      </w:tr>
      <w:tr>
        <w:tc>
          <w:tcPr>
            <w:tcW w:type="dxa" w:w="4933"/>
          </w:tcPr>
          <w:p>
            <w:r>
              <w:rPr>
                <w:sz w:val="14"/>
              </w:rPr>
              <w:t>Log reviewed at the January check-in</w:t>
            </w:r>
          </w:p>
        </w:tc>
        <w:tc>
          <w:tcPr>
            <w:tcW w:type="dxa" w:w="4933"/>
          </w:tcPr>
          <w:p>
            <w:r>
              <w:rPr>
                <w:sz w:val="14"/>
              </w:rPr>
              <w:t>DPO and COO, with the reviewer</w:t>
            </w:r>
          </w:p>
        </w:tc>
        <w:tc>
          <w:tcPr>
            <w:tcW w:type="dxa" w:w="4933"/>
          </w:tcPr>
          <w:p>
            <w:r>
              <w:rPr>
                <w:sz w:val="14"/>
              </w:rPr>
              <w:t>5 February 2027</w:t>
            </w:r>
          </w:p>
        </w:tc>
      </w:tr>
      <w:tr>
        <w:tc>
          <w:tcPr>
            <w:tcW w:type="dxa" w:w="4933"/>
          </w:tcPr>
          <w:p>
            <w:r>
              <w:rPr>
                <w:sz w:val="14"/>
              </w:rPr>
              <w:t>Log approved as the record for the quarter</w:t>
            </w:r>
          </w:p>
        </w:tc>
        <w:tc>
          <w:tcPr>
            <w:tcW w:type="dxa" w:w="4933"/>
          </w:tcPr>
          <w:p>
            <w:r>
              <w:rPr>
                <w:sz w:val="14"/>
              </w:rPr>
              <w:t>Head of Operations (DPO)</w:t>
            </w:r>
          </w:p>
        </w:tc>
        <w:tc>
          <w:tcPr>
            <w:tcW w:type="dxa" w:w="4933"/>
          </w:tcPr>
          <w:p>
            <w:r>
              <w:rPr>
                <w:sz w:val="14"/>
              </w:rPr>
              <w:t>5 February 2027</w:t>
            </w:r>
          </w:p>
        </w:tc>
      </w:tr>
    </w:tbl>
    <w:p/>
    <w:p>
      <w:r>
        <w:rPr>
          <w:b/>
        </w:rPr>
        <w:t>Version history:</w:t>
      </w:r>
      <w:r>
        <w:rPr/>
        <w:t xml:space="preserve"> v1.0 covers PC-01 to PC-10, November 2026 to January 2027. New entries are added as changes are approved; the log is not rewritten.</w:t>
      </w:r>
    </w:p>
    <w:p>
      <w:r>
        <w:rPr>
          <w:b/>
        </w:rPr>
        <w:t>Expected next entries:</w:t>
      </w:r>
      <w:r>
        <w:rPr/>
        <w:t xml:space="preserve"> B11 v1.1 (for MD approval at the 12 February 2027 quarterly meeting) and B8 v1.2 (once the MD decides DA-08). Each will be logged with its approver and how staff were told once it is issued.</w:t>
      </w:r>
    </w:p>
    <w:p>
      <w:r>
        <w:rPr>
          <w:b/>
        </w:rPr>
        <w:t>IDs used:</w:t>
      </w:r>
      <w:r>
        <w:rPr/>
        <w:t xml:space="preserve"> PC- is a change entry; B-numbers are the October 2026 programme documents (for example B5 data protection policy, B7 access procedure, B8 retention schedule, B11 breach response plan); DA- links to the shared action tracker (C2).</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being named as or replacing your DPO.</w:t>
      </w:r>
    </w:p>
    <w:p>
      <w:pPr>
        <w:pStyle w:val="ListBullet"/>
      </w:pPr>
      <w:r>
        <w:t>Legal advice, legal representation or submitting regulatory notifications on your behalf.</w:t>
      </w:r>
    </w:p>
    <w:p>
      <w:pPr>
        <w:pStyle w:val="ListBullet"/>
      </w:pPr>
      <w:r>
        <w:t>Certification or a guarantee of compliance.</w:t>
      </w:r>
    </w:p>
    <w:p>
      <w:pPr>
        <w:pStyle w:val="ListBullet"/>
      </w:pPr>
      <w:r>
        <w:t>An emergency hotline or a substitute for your own incident-response arrangements.</w:t>
      </w:r>
    </w:p>
    <w:p>
      <w:pPr>
        <w:pStyle w:val="ListBullet"/>
      </w:pPr>
      <w:r>
        <w:t>Forensic investigation, penetration testing, security engineering or administering your systems.</w:t>
      </w:r>
    </w:p>
    <w:p>
      <w:pPr>
        <w:pStyle w:val="ListBullet"/>
      </w:pPr>
      <w:r>
        <w:t>Holding your customer database or making changes to live systems.</w:t>
      </w:r>
    </w:p>
    <w:p>
      <w:pPr>
        <w:pStyle w:val="ListBullet"/>
      </w:pPr>
      <w:r>
        <w:t>Rebuilding the whole PDPA programme, a new AI governance review or a major new project (these need a separate scope and quote).</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6838" w:h="11906" w:orient="landscape"/>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Monthly DPO support · C5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 Policy and procedure change log</dc:title>
  <dc:subject>Fictional organisation, illustrative only, not a client case study</dc:subject>
  <dc:creator>Alex Lew</dc:creator>
  <cp:keywords>Monthly DPO support; sample; fictional</cp:keywords>
  <dc:description>Fictional organisation, illustrative only, not a client case study</dc:description>
  <cp:lastModifiedBy>Alex Lew</cp:lastModifiedBy>
  <cp:revision>1</cp:revision>
  <dcterms:created xsi:type="dcterms:W3CDTF">2027-02-12T09:00:00Z</dcterms:created>
  <dcterms:modified xsi:type="dcterms:W3CDTF">2027-02-12T09:00:00Z</dcterms:modified>
  <cp:category>Sample</cp:category>
</cp:coreProperties>
</file>