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3E5C76"/>
          <w:sz w:val="16"/>
        </w:rPr>
        <w:t>PDPA PROGRAMME PACK · B0</w:t>
      </w:r>
    </w:p>
    <w:p>
      <w:pPr>
        <w:pStyle w:val="Heading1"/>
      </w:pPr>
      <w:r>
        <w:t>PDPA programme pack: cover and decisions</w:t>
      </w:r>
    </w:p>
    <w:p>
      <w:r>
        <w:rPr>
          <w:b/>
        </w:rPr>
        <w:t xml:space="preserve">Fictional organisation, illustrative only, not a client case study. </w:t>
      </w:r>
      <w:r>
        <w:t>Quillmarrow Supplies Pte. Ltd. (fictional) is invented. All people are shown by role only.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</w:trP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Organisation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Quillmarrow Supplies Pte. Ltd. (fictional)</w:t>
            </w:r>
          </w:p>
        </w:tc>
      </w:tr>
      <w:t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Document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B0 · PDPA programme pack: cover and decisions</w:t>
            </w:r>
          </w:p>
        </w:tc>
      </w:tr>
      <w:t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Version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1.0</w:t>
            </w:r>
          </w:p>
        </w:tc>
      </w:tr>
      <w:t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Date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30 October 2026 (illustrative)</w:t>
            </w:r>
          </w:p>
        </w:tc>
      </w:tr>
      <w:t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Prepared by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Alex Lew, reviewer and sign-off</w:t>
            </w:r>
          </w:p>
        </w:tc>
      </w:tr>
      <w:t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Client approver (role)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Managing Director</w:t>
            </w:r>
          </w:p>
        </w:tc>
      </w:tr>
      <w:t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Label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Fictional organisation, illustrative only, not a client case study</w:t>
            </w:r>
          </w:p>
        </w:tc>
      </w:tr>
    </w:tbl>
    <w:p/>
    <w:p>
      <w:pPr>
        <w:pStyle w:val="Heading2"/>
      </w:pPr>
      <w:r>
        <w:t>Why this programme was commissioned</w:t>
      </w:r>
    </w:p>
    <w:p>
      <w:r>
        <w:rPr/>
        <w:t>Quillmarrow Supplies Pte. Ltd. (fictional) is an office-supplies distributor with about 80 staff, a Singapore showroom and warehouse, a web shop for individuals and trade accounts for businesses. Malaysia orders are fulfilled by a partner in Johor. Four things made the programme urgent. An enterprise customer's supplier questionnaire asked for a privacy policy, a breach plan and a retention schedule that Quillmarrow did not have. A SharePoint folder of customer returns data was shared with "anyone with the link" for two days in September (INC-2026-07). Marketing planned a telemarketing campaign to SME owners with no Do Not Call (DNC) checks. And the Head of Operations had just been appointed Data Protection Officer (DPO) and needed a working programme to own.</w:t>
      </w:r>
    </w:p>
    <w:p>
      <w:r>
        <w:rPr/>
        <w:t>The programme ran remotely over about three to four weeks: interviews with role holders, document review and system walk-throughs using descriptions and masked screenshots. No customer database was received and no client personal data was put into AI tools.</w:t>
      </w:r>
    </w:p>
    <w:p>
      <w:pPr>
        <w:pStyle w:val="Heading2"/>
      </w:pPr>
      <w:r>
        <w:t>Decisions this supports</w:t>
      </w:r>
    </w:p>
    <w:p>
      <w:pPr>
        <w:pStyle w:val="ListBullet"/>
      </w:pPr>
      <w:r>
        <w:t>What personal data Quillmarrow needs, why it needs it and where it goes.</w:t>
      </w:r>
    </w:p>
    <w:p>
      <w:pPr>
        <w:pStyle w:val="ListBullet"/>
      </w:pPr>
      <w:r>
        <w:t>Which gaps need attention first and who owns the action.</w:t>
      </w:r>
    </w:p>
    <w:p>
      <w:pPr>
        <w:pStyle w:val="ListBullet"/>
      </w:pPr>
      <w:r>
        <w:t>What staff should do when someone withdraws consent, asks for access or correction, or raises a complaint.</w:t>
      </w:r>
    </w:p>
    <w:p>
      <w:pPr>
        <w:pStyle w:val="ListBullet"/>
      </w:pPr>
      <w:r>
        <w:t>What to check before appointing a vendor or transferring data overseas.</w:t>
      </w:r>
    </w:p>
    <w:p>
      <w:pPr>
        <w:pStyle w:val="ListBullet"/>
      </w:pPr>
      <w:r>
        <w:t>How the team escalates a suspected breach and records its decisions.</w:t>
      </w:r>
    </w:p>
    <w:p>
      <w:pPr>
        <w:pStyle w:val="ListBullet"/>
      </w:pPr>
      <w:r>
        <w:t>What management and the appointed DPO need to approve and maintain.</w:t>
      </w:r>
    </w:p>
    <w:p>
      <w:pPr>
        <w:pStyle w:val="Heading3"/>
      </w:pPr>
      <w:r>
        <w:t>Where each decision is answered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3289"/>
            <w:shd w:val="clear" w:color="auto" w:fill="E9EDF1"/>
          </w:tcPr>
          <w:p>
            <w:r>
              <w:rPr>
                <w:b/>
                <w:sz w:val="16"/>
              </w:rPr>
              <w:t>Decision</w:t>
            </w:r>
          </w:p>
        </w:tc>
        <w:tc>
          <w:tcPr>
            <w:tcW w:type="dxa" w:w="3289"/>
            <w:shd w:val="clear" w:color="auto" w:fill="E9EDF1"/>
          </w:tcPr>
          <w:p>
            <w:r>
              <w:rPr>
                <w:b/>
                <w:sz w:val="16"/>
              </w:rPr>
              <w:t>Answered in</w:t>
            </w:r>
          </w:p>
        </w:tc>
        <w:tc>
          <w:tcPr>
            <w:tcW w:type="dxa" w:w="3289"/>
            <w:shd w:val="clear" w:color="auto" w:fill="E9EDF1"/>
          </w:tcPr>
          <w:p>
            <w:r>
              <w:rPr>
                <w:b/>
                <w:sz w:val="16"/>
              </w:rPr>
              <w:t>Decided by (role)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What data, why and where it goes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B3 inventory and data flow map; B8 retention schedule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DPO; MD confirms retention decisions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Which gaps first, and who owns them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B2 gap review and action plan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MD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Withdrawal, access, correction and complaints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B6 consent and withdrawal; B7 access and correction; B5 policy (complaints)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DPO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Vendors and overseas transfers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B9 vendor checklist; B10 transfer checklist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COO with the DPO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Suspected breaches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B11 breach management plan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MD and DPO (notification decision)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What to approve and maintain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B5 policy; B16 DPO handover pack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MD; DPO maintains</w:t>
            </w:r>
          </w:p>
        </w:tc>
      </w:tr>
    </w:tbl>
    <w:p/>
    <w:p>
      <w:pPr>
        <w:pStyle w:val="Heading2"/>
      </w:pPr>
      <w:r>
        <w:t>The pack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 w:val="true"/>
        </w:trPr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Measure</w:t>
            </w:r>
          </w:p>
        </w:tc>
        <w:tc>
          <w:tcPr>
            <w:tcW w:type="dxa" w:w="4933"/>
            <w:shd w:val="clear" w:color="auto" w:fill="E9EDF1"/>
          </w:tcPr>
          <w:p>
            <w:r>
              <w:rPr>
                <w:b/>
                <w:sz w:val="16"/>
              </w:rPr>
              <w:t>What the pack records</w:t>
            </w:r>
          </w:p>
        </w:tc>
      </w:tr>
      <w:tr>
        <w:tc>
          <w:tcPr>
            <w:tcW w:type="dxa" w:w="4933"/>
          </w:tcPr>
          <w:p>
            <w:r>
              <w:rPr>
                <w:sz w:val="16"/>
              </w:rPr>
              <w:t>Review areas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11 (G-01 to G-11): 3 Red (Notification, Retention limitation, Data breach notification), 7 Amber, 1 Green</w:t>
            </w:r>
          </w:p>
        </w:tc>
      </w:tr>
      <w:tr>
        <w:tc>
          <w:tcPr>
            <w:tcW w:type="dxa" w:w="4933"/>
          </w:tcPr>
          <w:p>
            <w:r>
              <w:rPr>
                <w:sz w:val="16"/>
              </w:rPr>
              <w:t>Personal data records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25 in the inventory (PD-01 to PD-25), with systems, access, vendors and overseas flows</w:t>
            </w:r>
          </w:p>
        </w:tc>
      </w:tr>
      <w:tr>
        <w:tc>
          <w:tcPr>
            <w:tcW w:type="dxa" w:w="4933"/>
          </w:tcPr>
          <w:p>
            <w:r>
              <w:rPr>
                <w:sz w:val="16"/>
              </w:rPr>
              <w:t>Retention decisions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20 record types (RS-01 to RS-20); periods set by law are flagged for the accountant or lawyer</w:t>
            </w:r>
          </w:p>
        </w:tc>
      </w:tr>
      <w:tr>
        <w:tc>
          <w:tcPr>
            <w:tcW w:type="dxa" w:w="4933"/>
          </w:tcPr>
          <w:p>
            <w:r>
              <w:rPr>
                <w:sz w:val="16"/>
              </w:rPr>
              <w:t>Access and correction requests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6 sample requests logged (AR-01 to AR-06), including one late and one open</w:t>
            </w:r>
          </w:p>
        </w:tc>
      </w:tr>
      <w:tr>
        <w:tc>
          <w:tcPr>
            <w:tcW w:type="dxa" w:w="4933"/>
          </w:tcPr>
          <w:p>
            <w:r>
              <w:rPr>
                <w:sz w:val="16"/>
              </w:rPr>
              <w:t>Vendor questions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18 questions to 3 fictional vendors and data intermediaries, with gaps left visible</w:t>
            </w:r>
          </w:p>
        </w:tc>
      </w:tr>
      <w:tr>
        <w:tc>
          <w:tcPr>
            <w:tcW w:type="dxa" w:w="4933"/>
          </w:tcPr>
          <w:p>
            <w:r>
              <w:rPr>
                <w:sz w:val="16"/>
              </w:rPr>
              <w:t>Breach exercise</w:t>
            </w:r>
          </w:p>
        </w:tc>
        <w:tc>
          <w:tcPr>
            <w:tcW w:type="dxa" w:w="4933"/>
          </w:tcPr>
          <w:p>
            <w:r>
              <w:rPr>
                <w:sz w:val="16"/>
              </w:rPr>
              <w:t>INC-2026-07 worked through C.A.R.E.: assessed on 16 September, recorded as not notifiable, with the deadline that would have applied</w:t>
            </w:r>
          </w:p>
        </w:tc>
      </w:tr>
    </w:tbl>
    <w:p/>
    <w:p>
      <w:r>
        <w:rPr/>
        <w:t>These are counts of what the sample documents contain. They are not results or outcomes.</w:t>
      </w:r>
    </w:p>
    <w:p>
      <w:pPr>
        <w:pStyle w:val="Heading2"/>
      </w:pPr>
      <w:r>
        <w:t>What is in this pack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3289"/>
            <w:shd w:val="clear" w:color="auto" w:fill="E9EDF1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3289"/>
            <w:shd w:val="clear" w:color="auto" w:fill="E9EDF1"/>
          </w:tcPr>
          <w:p>
            <w:r>
              <w:rPr>
                <w:b/>
                <w:sz w:val="16"/>
              </w:rPr>
              <w:t>Document</w:t>
            </w:r>
          </w:p>
        </w:tc>
        <w:tc>
          <w:tcPr>
            <w:tcW w:type="dxa" w:w="3289"/>
            <w:shd w:val="clear" w:color="auto" w:fill="E9EDF1"/>
          </w:tcPr>
          <w:p>
            <w:r>
              <w:rPr>
                <w:b/>
                <w:sz w:val="16"/>
              </w:rPr>
              <w:t>Client approver (role)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B0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Pack cover and decisions (this document)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Managing Director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B1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Programme scope sheet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Chief Operating Officer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B2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Gap review and action plan (with tracker workbook)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Managing Director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B3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Personal data inventory and data flow map (with workbook)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DPO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B4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Privacy notices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DPO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B5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Internal data protection policy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Managing Director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B6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Consent and withdrawal procedures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DPO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B7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Access and correction procedure and log (with workbook)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DPO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B8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Retention schedule (with workbook)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DPO; MD confirms decisions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B9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Vendor and data intermediary checklist (with workbook)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Chief Operating Officer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B10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Overseas transfer checklist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DPO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B11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Data breach management plan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Managing Director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B12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DNC checklist and process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Head of Marketing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B13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DPIA template, with a worked example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DPO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B14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Basic AI-use policy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Managing Director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B15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Remote staff briefing: outline and speaker notes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DPO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B16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DPO handover pack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Managing Director</w:t>
            </w:r>
          </w:p>
        </w:tc>
      </w:tr>
    </w:tbl>
    <w:p/>
    <w:p>
      <w:pPr>
        <w:pStyle w:val="Heading2"/>
      </w:pPr>
      <w:r>
        <w:t>How to read this pack</w:t>
      </w:r>
    </w:p>
    <w:p>
      <w:pPr>
        <w:pStyle w:val="ListNumber"/>
      </w:pPr>
      <w:r>
        <w:t xml:space="preserve">Start with the </w:t>
      </w:r>
      <w:r>
        <w:rPr>
          <w:b/>
        </w:rPr>
        <w:t>gap review (B2)</w:t>
      </w:r>
      <w:r>
        <w:t>: the summary, the three Red areas and the action plan with owners and dates.</w:t>
      </w:r>
    </w:p>
    <w:p>
      <w:pPr>
        <w:pStyle w:val="ListNumber"/>
      </w:pPr>
      <w:r>
        <w:t xml:space="preserve">Read the </w:t>
      </w:r>
      <w:r>
        <w:rPr>
          <w:b/>
        </w:rPr>
        <w:t>breach management plan (B11)</w:t>
      </w:r>
      <w:r>
        <w:t xml:space="preserve"> next. It is the most urgent gap and shows the INC-2026-07 assessment and decision log.</w:t>
      </w:r>
    </w:p>
    <w:p>
      <w:pPr>
        <w:pStyle w:val="ListNumber"/>
      </w:pPr>
      <w:r>
        <w:t xml:space="preserve">Use the </w:t>
      </w:r>
      <w:r>
        <w:rPr>
          <w:b/>
        </w:rPr>
        <w:t>inventory (B3)</w:t>
      </w:r>
      <w:r>
        <w:t xml:space="preserve"> as the reference for every other document: notices, retention, vendors and transfers all point back to its PD IDs.</w:t>
      </w:r>
    </w:p>
    <w:p>
      <w:pPr>
        <w:pStyle w:val="ListNumber"/>
      </w:pPr>
      <w:r>
        <w:t xml:space="preserve">Give staff the </w:t>
      </w:r>
      <w:r>
        <w:rPr>
          <w:b/>
        </w:rPr>
        <w:t>policy (B5)</w:t>
      </w:r>
      <w:r>
        <w:t xml:space="preserve">, the </w:t>
      </w:r>
      <w:r>
        <w:rPr>
          <w:b/>
        </w:rPr>
        <w:t>briefing (B15)</w:t>
      </w:r>
      <w:r>
        <w:t xml:space="preserve"> and the </w:t>
      </w:r>
      <w:r>
        <w:rPr>
          <w:b/>
        </w:rPr>
        <w:t>AI-use policy (B14)</w:t>
      </w:r>
      <w:r>
        <w:t xml:space="preserve"> once the MD approves them.</w:t>
      </w:r>
    </w:p>
    <w:p>
      <w:pPr>
        <w:pStyle w:val="ListNumber"/>
      </w:pPr>
      <w:r>
        <w:t xml:space="preserve">The DPO keeps the programme running from the </w:t>
      </w:r>
      <w:r>
        <w:rPr>
          <w:b/>
        </w:rPr>
        <w:t>handover pack (B16)</w:t>
      </w:r>
      <w:r>
        <w:t>.</w:t>
      </w:r>
    </w:p>
    <w:p>
      <w:pPr>
        <w:pStyle w:val="Heading2"/>
      </w:pPr>
      <w:r>
        <w:t>The breach rule used throughout</w:t>
      </w:r>
    </w:p>
    <w:p>
      <w:r>
        <w:rPr/>
        <w:t>A breach is notifiable if it is likely to cause significant harm to the people affected, or affects 500 or more people. Quillmarrow assesses a suspected breach quickly; PDPC guidance expects the assessment within 30 calendar days. If a breach is notifiable, Quillmarrow tells the PDPC as soon as practicable and no later than 3 calendar days after assessing that it is notifiable. Where significant harm is likely, it tells the affected people as soon as practicable, on or after notifying the PDPC. A data intermediary tells Quillmarrow without undue delay. The assessment and the decision to notify are recorded separately. The public explanation is at alexlew.live/faq.html#faq-breach-deadlines.</w:t>
      </w:r>
    </w:p>
    <w:p>
      <w:pPr>
        <w:pStyle w:val="Heading2"/>
      </w:pPr>
      <w:r>
        <w:t>Approvals and status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 w:val="true"/>
        </w:trPr>
        <w:tc>
          <w:tcPr>
            <w:tcW w:type="dxa" w:w="3289"/>
            <w:shd w:val="clear" w:color="auto" w:fill="E9EDF1"/>
          </w:tcPr>
          <w:p>
            <w:r>
              <w:rPr>
                <w:b/>
                <w:sz w:val="16"/>
              </w:rPr>
              <w:t>Item</w:t>
            </w:r>
          </w:p>
        </w:tc>
        <w:tc>
          <w:tcPr>
            <w:tcW w:type="dxa" w:w="3289"/>
            <w:shd w:val="clear" w:color="auto" w:fill="E9EDF1"/>
          </w:tcPr>
          <w:p>
            <w:r>
              <w:rPr>
                <w:b/>
                <w:sz w:val="16"/>
              </w:rPr>
              <w:t>Client approver (role)</w:t>
            </w:r>
          </w:p>
        </w:tc>
        <w:tc>
          <w:tcPr>
            <w:tcW w:type="dxa" w:w="3289"/>
            <w:shd w:val="clear" w:color="auto" w:fill="E9EDF1"/>
          </w:tcPr>
          <w:p>
            <w:r>
              <w:rPr>
                <w:b/>
                <w:sz w:val="16"/>
              </w:rPr>
              <w:t>Status in this sample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B1 scope sheet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Chief Operating Officer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Agreed before fieldwork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B2, B5, B11, B14, B16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Managing Director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Issued for approval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B3, B4, B6, B7, B8, B10, B13, B15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DPO (Head of Operations)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Issued for approval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B9 vendor checklist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Chief Operating Officer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Issued; vendor follow-ups open</w:t>
            </w:r>
          </w:p>
        </w:tc>
      </w:tr>
      <w:tr>
        <w:tc>
          <w:tcPr>
            <w:tcW w:type="dxa" w:w="3289"/>
          </w:tcPr>
          <w:p>
            <w:r>
              <w:rPr>
                <w:sz w:val="16"/>
              </w:rPr>
              <w:t>B12 DNC process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Head of Marketing</w:t>
            </w:r>
          </w:p>
        </w:tc>
        <w:tc>
          <w:tcPr>
            <w:tcW w:type="dxa" w:w="3289"/>
          </w:tcPr>
          <w:p>
            <w:r>
              <w:rPr>
                <w:sz w:val="16"/>
              </w:rPr>
              <w:t>Issued; no calls until the process is in use</w:t>
            </w:r>
          </w:p>
        </w:tc>
      </w:tr>
    </w:tbl>
    <w:p/>
    <w:p>
      <w:r>
        <w:rPr/>
        <w:t>The reviewer signs off each deliverable before issue. Quillmarrow's management makes the decisions and the appointed DPO owns the programme after handover.</w:t>
      </w:r>
    </w:p>
    <w:p>
      <w:pPr>
        <w:pStyle w:val="Heading2"/>
      </w:pPr>
      <w:r>
        <w:t>Limits of this pack</w:t>
      </w:r>
    </w:p>
    <w:p>
      <w:pPr>
        <w:pStyle w:val="ListBullet"/>
      </w:pPr>
      <w:r>
        <w:t>Facts are client-reported unless a document records the evidence seen.</w:t>
      </w:r>
    </w:p>
    <w:p>
      <w:pPr>
        <w:pStyle w:val="ListBullet"/>
      </w:pPr>
      <w:r>
        <w:t>Questions that need a legal view, such as the basis for a particular use of data, contract wording or periods set by law, are flagged for a Singapore-qualified lawyer or accountant and are not answered here.</w:t>
      </w:r>
    </w:p>
    <w:p>
      <w:pPr>
        <w:pStyle w:val="ListBullet"/>
      </w:pPr>
      <w:r>
        <w:t>No forensic investigation, penetration testing or changes to live systems were done.</w:t>
      </w:r>
    </w:p>
    <w:p>
      <w:pPr>
        <w:pStyle w:val="ListBullet"/>
      </w:pPr>
      <w:r>
        <w:t>Missing evidence is listed, owned and dated in B2 rather than assumed.</w:t>
      </w:r>
    </w:p>
    <w:p>
      <w:pPr>
        <w:pStyle w:val="Heading2"/>
      </w:pPr>
      <w:r>
        <w:t>After the programme</w:t>
      </w:r>
    </w:p>
    <w:p>
      <w:pPr>
        <w:pStyle w:val="ListBullet"/>
      </w:pPr>
      <w:r>
        <w:rPr>
          <w:b/>
        </w:rPr>
        <w:t>Owner.</w:t>
      </w:r>
      <w:r>
        <w:t xml:space="preserve"> The DPO owns the inventory, the action plan and the maintenance checklist in B16.</w:t>
      </w:r>
    </w:p>
    <w:p>
      <w:pPr>
        <w:pStyle w:val="ListBullet"/>
      </w:pPr>
      <w:r>
        <w:rPr>
          <w:b/>
        </w:rPr>
        <w:t>Re-review triggers.</w:t>
      </w:r>
      <w:r>
        <w:t xml:space="preserve"> A new system, vendor, collection point, overseas flow or marketing channel, a breach or near-miss, or a change in PDPC guidance.</w:t>
      </w:r>
    </w:p>
    <w:p>
      <w:pPr>
        <w:pStyle w:val="ListBullet"/>
      </w:pPr>
      <w:r>
        <w:rPr>
          <w:b/>
        </w:rPr>
        <w:t>Cadence.</w:t>
      </w:r>
      <w:r>
        <w:t xml:space="preserve"> The DPO reports progress on B2 actions to the MD monthly until all Red items close, then reviews the programme annually.</w:t>
      </w:r>
    </w:p>
    <w:p>
      <w:pPr>
        <w:pStyle w:val="Heading2"/>
      </w:pPr>
      <w:r>
        <w:t>About this sample</w:t>
      </w:r>
    </w:p>
    <w:p>
      <w:r>
        <w:rPr>
          <w:b/>
        </w:rPr>
        <w:t>Fictional organisation, illustrative only, not a client case study.</w:t>
      </w:r>
      <w:r>
        <w:rPr/>
        <w:t xml:space="preserve"> Quillmarrow Supplies Pte. Ltd., its people, vendors, findings and dates are invented. Nothing in this document reports a client result.</w:t>
      </w:r>
    </w:p>
    <w:p>
      <w:r>
        <w:rPr/>
        <w:t>I personally review and sign off every deliverable. You appoint your own DPO. I support them.</w:t>
      </w:r>
    </w:p>
    <w:p>
      <w:r>
        <w:rPr/>
        <w:t>This is practical compliance support, not legal advice. For legal advice, use a Singapore-qualified lawyer.</w:t>
      </w:r>
    </w:p>
    <w:p>
      <w:r>
        <w:rPr>
          <w:b/>
        </w:rPr>
        <w:t>What's not included</w:t>
      </w:r>
    </w:p>
    <w:p>
      <w:pPr>
        <w:pStyle w:val="ListBullet"/>
      </w:pPr>
      <w:r>
        <w:t>Acting as your DPO. You appoint your own DPO; I prepare the handover and can support them separately.</w:t>
      </w:r>
    </w:p>
    <w:p>
      <w:pPr>
        <w:pStyle w:val="ListBullet"/>
      </w:pPr>
      <w:r>
        <w:t>Legal advice, legal contract drafting, representation or a guarantee of compliance.</w:t>
      </w:r>
    </w:p>
    <w:p>
      <w:pPr>
        <w:pStyle w:val="ListBullet"/>
      </w:pPr>
      <w:r>
        <w:t>Forensic investigation, penetration testing, security engineering or implementing changes in live systems.</w:t>
      </w:r>
    </w:p>
    <w:p>
      <w:pPr>
        <w:pStyle w:val="ListBullet"/>
      </w:pPr>
      <w:r>
        <w:t>A detailed AI governance review or ISO/IEC 42001 readiness check unless separately scoped.</w:t>
      </w:r>
    </w:p>
    <w:p>
      <w:pPr>
        <w:pStyle w:val="ListBullet"/>
      </w:pPr>
      <w:r>
        <w:t>Ongoing document upkeep after handover, unless agreed through monthly DPO support.</w:t>
      </w:r>
    </w:p>
    <w:p>
      <w:pPr>
        <w:pStyle w:val="ListBullet"/>
      </w:pPr>
      <w:r>
        <w:t>Healthcare-sector work or on-site delivery.</w:t>
      </w:r>
    </w:p>
    <w:p>
      <w:r>
        <w:rPr/>
        <w:t>Questions about this sample: DM @alewyl1 on X, or ask for a free intro call (coffee chat).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670"/>
        <w:sz w:val="15"/>
      </w:rPr>
      <w:t xml:space="preserve">Fictional organisation, illustrative only, not a client case study · Not legal advice · Page </w:t>
    </w:r>
    <w:r>
      <w:fldChar w:fldCharType="begin"/>
    </w:r>
    <w:r>
      <w:instrText xml:space="preserve">PAGE</w:instrText>
    </w:r>
    <w:r>
      <w:fldChar w:fldCharType="end"/>
    </w:r>
    <w:r>
      <w:rPr>
        <w:sz w:val="15"/>
      </w:rPr>
      <w:t xml:space="preserve"> of </w:t>
    </w:r>
    <w:r>
      <w:fldChar w:fldCharType="begin"/>
    </w:r>
    <w:r>
      <w:instrText xml:space="preserve">NUMPAGES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670"/>
        <w:sz w:val="15"/>
      </w:rPr>
      <w:t>Quillmarrow Supplies Pte. Ltd. (fictional) · PDPA programme · B0 ·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F29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3A5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1F3A5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mbria" w:hAnsi="Cambria"/>
      <w:b/>
      <w:bCs/>
      <w:color w:val="1F3A5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B0 PDPA programme pack: cover and decisions</dc:title>
  <dc:subject>Fictional organisation, illustrative only, not a client case study</dc:subject>
  <dc:creator>Alex Lew</dc:creator>
  <cp:keywords>PDPA programme; sample; fictional</cp:keywords>
  <dc:description>Fictional organisation, illustrative only, not a client case study</dc:description>
  <cp:lastModifiedBy>Alex Lew</cp:lastModifiedBy>
  <cp:revision>1</cp:revision>
  <dcterms:created xsi:type="dcterms:W3CDTF">2026-10-30T09:00:00Z</dcterms:created>
  <dcterms:modified xsi:type="dcterms:W3CDTF">2026-10-30T09:00:00Z</dcterms:modified>
  <cp:category>Sample</cp:category>
</cp:coreProperties>
</file>