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B12</w:t>
      </w:r>
    </w:p>
    <w:p>
      <w:pPr>
        <w:pStyle w:val="Heading1"/>
      </w:pPr>
      <w:r>
        <w:t>DNC checklist and process</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B12 · DNC checklist and process</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Marketing</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When the DNC provisions apply</w:t>
      </w:r>
    </w:p>
    <w:p>
      <w:r>
        <w:rPr/>
        <w:t xml:space="preserve">This procedure is for Quillmarrow’s planned telemarketing campaign to SME owners, using the prospect list in </w:t>
      </w:r>
      <w:r>
        <w:rPr>
          <w:b/>
        </w:rPr>
        <w:t>PD-10</w:t>
      </w:r>
      <w:r>
        <w:rPr/>
        <w:t xml:space="preserve">. It supports the action on </w:t>
      </w:r>
      <w:r>
        <w:rPr>
          <w:b/>
        </w:rPr>
        <w:t>G-11</w:t>
      </w:r>
      <w:r>
        <w:rPr/>
        <w:t>: no register-check process was reported and sender details were not standardised.</w:t>
      </w:r>
    </w:p>
    <w:p>
      <w:r>
        <w:rPr/>
        <w:t>The Do Not Call (DNC) provisions concern specified messages sent to Singapore telephone numbers. Relevant channels can include voice calls, SMS, messaging apps and fax. The content, recipient, number and channel matter; staff should not assume a message is outside the rules simply because it concerns a business.</w:t>
      </w:r>
    </w:p>
    <w:p>
      <w:r>
        <w:rPr/>
        <w:t>Some B2B messages and other situations may be treated differently. Clear and unambiguous consent in evidential form may also be relevant. The Head of Marketing and the DPO should confirm how the rules and any proposed exception apply to each campaign with a Singapore-qualified lawyer. Do not assume that a business relationship, a publicly available number or an old list establishes consent.</w:t>
      </w:r>
    </w:p>
    <w:p>
      <w:r>
        <w:rPr/>
        <w:t xml:space="preserve">Use this procedure with B6 for consent and withdrawal, B3 for the data inventory and B8 for retention. Refer to the </w:t>
      </w:r>
      <w:r>
        <w:rPr>
          <w:b/>
        </w:rPr>
        <w:t>PDPC Advisory Guidelines on the Do Not Call Provisions</w:t>
      </w:r>
      <w:r>
        <w:rPr/>
        <w:t xml:space="preserve"> and confirm legal questions with a lawyer.</w:t>
      </w:r>
    </w:p>
    <w:p>
      <w:pPr>
        <w:pStyle w:val="Heading2"/>
      </w:pPr>
      <w:r>
        <w:t>2. Pre-campaign checklist</w:t>
      </w:r>
    </w:p>
    <w:p>
      <w:r>
        <w:rPr/>
        <w:t>The Head of Marketing should complete and document the checklist before any batch is released. A proposed control is not evidence that it has been carried out.</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Check</w:t>
            </w:r>
          </w:p>
        </w:tc>
        <w:tc>
          <w:tcPr>
            <w:tcW w:type="dxa" w:w="2466"/>
            <w:shd w:val="clear" w:color="auto" w:fill="E9EDF1"/>
          </w:tcPr>
          <w:p>
            <w:r>
              <w:rPr>
                <w:b/>
                <w:sz w:val="16"/>
              </w:rPr>
              <w:t>How</w:t>
            </w:r>
          </w:p>
        </w:tc>
        <w:tc>
          <w:tcPr>
            <w:tcW w:type="dxa" w:w="2466"/>
            <w:shd w:val="clear" w:color="auto" w:fill="E9EDF1"/>
          </w:tcPr>
          <w:p>
            <w:r>
              <w:rPr>
                <w:b/>
                <w:sz w:val="16"/>
              </w:rPr>
              <w:t>Owner role</w:t>
            </w:r>
          </w:p>
        </w:tc>
        <w:tc>
          <w:tcPr>
            <w:tcW w:type="dxa" w:w="2466"/>
            <w:shd w:val="clear" w:color="auto" w:fill="E9EDF1"/>
          </w:tcPr>
          <w:p>
            <w:r>
              <w:rPr>
                <w:b/>
                <w:sz w:val="16"/>
              </w:rPr>
              <w:t>Record kept</w:t>
            </w:r>
          </w:p>
        </w:tc>
      </w:tr>
      <w:tr>
        <w:tc>
          <w:tcPr>
            <w:tcW w:type="dxa" w:w="2466"/>
          </w:tcPr>
          <w:p>
            <w:r>
              <w:rPr>
                <w:sz w:val="16"/>
              </w:rPr>
              <w:t>Campaign purpose and channels</w:t>
            </w:r>
          </w:p>
        </w:tc>
        <w:tc>
          <w:tcPr>
            <w:tcW w:type="dxa" w:w="2466"/>
          </w:tcPr>
          <w:p>
            <w:r>
              <w:rPr>
                <w:sz w:val="16"/>
              </w:rPr>
              <w:t>Describe the offer, audience, message and intended channels. Ask the DPO to review whether the message is a specified message and whether any exception is proposed.</w:t>
            </w:r>
          </w:p>
        </w:tc>
        <w:tc>
          <w:tcPr>
            <w:tcW w:type="dxa" w:w="2466"/>
          </w:tcPr>
          <w:p>
            <w:r>
              <w:rPr>
                <w:sz w:val="16"/>
              </w:rPr>
              <w:t>Head of Marketing</w:t>
            </w:r>
          </w:p>
        </w:tc>
        <w:tc>
          <w:tcPr>
            <w:tcW w:type="dxa" w:w="2466"/>
          </w:tcPr>
          <w:p>
            <w:r>
              <w:rPr>
                <w:sz w:val="16"/>
              </w:rPr>
              <w:t>Campaign brief, message drafts and DPO review</w:t>
            </w:r>
          </w:p>
        </w:tc>
      </w:tr>
      <w:tr>
        <w:tc>
          <w:tcPr>
            <w:tcW w:type="dxa" w:w="2466"/>
          </w:tcPr>
          <w:p>
            <w:r>
              <w:rPr>
                <w:sz w:val="16"/>
              </w:rPr>
              <w:t>List sources</w:t>
            </w:r>
          </w:p>
        </w:tc>
        <w:tc>
          <w:tcPr>
            <w:tcW w:type="dxa" w:w="2466"/>
          </w:tcPr>
          <w:p>
            <w:r>
              <w:rPr>
                <w:sz w:val="16"/>
              </w:rPr>
              <w:t>Identify each source of PD-10 numbers, how it was collected and who supplied it. Keep sources distinguishable until review is complete.</w:t>
            </w:r>
          </w:p>
        </w:tc>
        <w:tc>
          <w:tcPr>
            <w:tcW w:type="dxa" w:w="2466"/>
          </w:tcPr>
          <w:p>
            <w:r>
              <w:rPr>
                <w:sz w:val="16"/>
              </w:rPr>
              <w:t>Head of Marketing</w:t>
            </w:r>
          </w:p>
        </w:tc>
        <w:tc>
          <w:tcPr>
            <w:tcW w:type="dxa" w:w="2466"/>
          </w:tcPr>
          <w:p>
            <w:r>
              <w:rPr>
                <w:sz w:val="16"/>
              </w:rPr>
              <w:t>Source list, collection details and unresolved questions</w:t>
            </w:r>
          </w:p>
        </w:tc>
      </w:tr>
      <w:tr>
        <w:tc>
          <w:tcPr>
            <w:tcW w:type="dxa" w:w="2466"/>
          </w:tcPr>
          <w:p>
            <w:r>
              <w:rPr>
                <w:sz w:val="16"/>
              </w:rPr>
              <w:t>Consent evidence</w:t>
            </w:r>
          </w:p>
        </w:tc>
        <w:tc>
          <w:tcPr>
            <w:tcW w:type="dxa" w:w="2466"/>
          </w:tcPr>
          <w:p>
            <w:r>
              <w:rPr>
                <w:sz w:val="16"/>
              </w:rPr>
              <w:t>Where consent is relied on, locate clear and unambiguous consent in evidential form for the relevant message and channel. Check wording, source and withdrawal status.</w:t>
            </w:r>
          </w:p>
        </w:tc>
        <w:tc>
          <w:tcPr>
            <w:tcW w:type="dxa" w:w="2466"/>
          </w:tcPr>
          <w:p>
            <w:r>
              <w:rPr>
                <w:sz w:val="16"/>
              </w:rPr>
              <w:t>Head of Marketing</w:t>
            </w:r>
          </w:p>
        </w:tc>
        <w:tc>
          <w:tcPr>
            <w:tcW w:type="dxa" w:w="2466"/>
          </w:tcPr>
          <w:p>
            <w:r>
              <w:rPr>
                <w:sz w:val="16"/>
              </w:rPr>
              <w:t>Consent record, wording version, source and evidence location; mark missing evidence as missing</w:t>
            </w:r>
          </w:p>
        </w:tc>
      </w:tr>
      <w:tr>
        <w:tc>
          <w:tcPr>
            <w:tcW w:type="dxa" w:w="2466"/>
          </w:tcPr>
          <w:p>
            <w:r>
              <w:rPr>
                <w:sz w:val="16"/>
              </w:rPr>
              <w:t>DNC register check</w:t>
            </w:r>
          </w:p>
        </w:tc>
        <w:tc>
          <w:tcPr>
            <w:tcW w:type="dxa" w:w="2466"/>
          </w:tcPr>
          <w:p>
            <w:r>
              <w:rPr>
                <w:sz w:val="16"/>
              </w:rPr>
              <w:t xml:space="preserve">Check the relevant numbers against the applicable registers </w:t>
            </w:r>
            <w:r>
              <w:rPr>
                <w:b/>
                <w:sz w:val="16"/>
              </w:rPr>
              <w:t>within the validity period set by the PDPC (confirm the current period)</w:t>
            </w:r>
            <w:r>
              <w:rPr>
                <w:sz w:val="16"/>
              </w:rPr>
              <w:t>, unless a proposed exception has been reviewed and confirmed with a lawyer. Exclude numbers that should not be contacted.</w:t>
            </w:r>
          </w:p>
        </w:tc>
        <w:tc>
          <w:tcPr>
            <w:tcW w:type="dxa" w:w="2466"/>
          </w:tcPr>
          <w:p>
            <w:r>
              <w:rPr>
                <w:sz w:val="16"/>
              </w:rPr>
              <w:t>Head of Marketing</w:t>
            </w:r>
          </w:p>
        </w:tc>
        <w:tc>
          <w:tcPr>
            <w:tcW w:type="dxa" w:w="2466"/>
          </w:tcPr>
          <w:p>
            <w:r>
              <w:rPr>
                <w:sz w:val="16"/>
              </w:rPr>
              <w:t>Check date, channels, batch reference, result and exclusions</w:t>
            </w:r>
          </w:p>
        </w:tc>
      </w:tr>
      <w:tr>
        <w:tc>
          <w:tcPr>
            <w:tcW w:type="dxa" w:w="2466"/>
          </w:tcPr>
          <w:p>
            <w:r>
              <w:rPr>
                <w:sz w:val="16"/>
              </w:rPr>
              <w:t>Sender identification</w:t>
            </w:r>
          </w:p>
        </w:tc>
        <w:tc>
          <w:tcPr>
            <w:tcW w:type="dxa" w:w="2466"/>
          </w:tcPr>
          <w:p>
            <w:r>
              <w:rPr>
                <w:sz w:val="16"/>
              </w:rPr>
              <w:t>Include Quillmarrow’s identification and contact details in each message. Review the wording for the particular channel with the DPO and confirm requirements with a lawyer.</w:t>
            </w:r>
          </w:p>
        </w:tc>
        <w:tc>
          <w:tcPr>
            <w:tcW w:type="dxa" w:w="2466"/>
          </w:tcPr>
          <w:p>
            <w:r>
              <w:rPr>
                <w:sz w:val="16"/>
              </w:rPr>
              <w:t>Head of Marketing</w:t>
            </w:r>
          </w:p>
        </w:tc>
        <w:tc>
          <w:tcPr>
            <w:tcW w:type="dxa" w:w="2466"/>
          </w:tcPr>
          <w:p>
            <w:r>
              <w:rPr>
                <w:sz w:val="16"/>
              </w:rPr>
              <w:t>Approved message or call script and version</w:t>
            </w:r>
          </w:p>
        </w:tc>
      </w:tr>
      <w:tr>
        <w:tc>
          <w:tcPr>
            <w:tcW w:type="dxa" w:w="2466"/>
          </w:tcPr>
          <w:p>
            <w:r>
              <w:rPr>
                <w:sz w:val="16"/>
              </w:rPr>
              <w:t>Calling line identity</w:t>
            </w:r>
          </w:p>
        </w:tc>
        <w:tc>
          <w:tcPr>
            <w:tcW w:type="dxa" w:w="2466"/>
          </w:tcPr>
          <w:p>
            <w:r>
              <w:rPr>
                <w:sz w:val="16"/>
              </w:rPr>
              <w:t>For voice calls, ensure the calling line identity is not concealed. Test the intended calling arrangement before release.</w:t>
            </w:r>
          </w:p>
        </w:tc>
        <w:tc>
          <w:tcPr>
            <w:tcW w:type="dxa" w:w="2466"/>
          </w:tcPr>
          <w:p>
            <w:r>
              <w:rPr>
                <w:sz w:val="16"/>
              </w:rPr>
              <w:t>Sales Manager</w:t>
            </w:r>
          </w:p>
        </w:tc>
        <w:tc>
          <w:tcPr>
            <w:tcW w:type="dxa" w:w="2466"/>
          </w:tcPr>
          <w:p>
            <w:r>
              <w:rPr>
                <w:sz w:val="16"/>
              </w:rPr>
              <w:t>Test date, outcome and calling arrangement</w:t>
            </w:r>
          </w:p>
        </w:tc>
      </w:tr>
      <w:tr>
        <w:tc>
          <w:tcPr>
            <w:tcW w:type="dxa" w:w="2466"/>
          </w:tcPr>
          <w:p>
            <w:r>
              <w:rPr>
                <w:sz w:val="16"/>
              </w:rPr>
              <w:t>Opt-outs and withdrawals</w:t>
            </w:r>
          </w:p>
        </w:tc>
        <w:tc>
          <w:tcPr>
            <w:tcW w:type="dxa" w:w="2466"/>
          </w:tcPr>
          <w:p>
            <w:r>
              <w:rPr>
                <w:sz w:val="16"/>
              </w:rPr>
              <w:t>Provide an appropriate way for recipients to opt out; record and action requests promptly under B6. Apply suppression before each batch and communicate changes to any calling provider. Confirm channel-specific requirements with a lawyer.</w:t>
            </w:r>
          </w:p>
        </w:tc>
        <w:tc>
          <w:tcPr>
            <w:tcW w:type="dxa" w:w="2466"/>
          </w:tcPr>
          <w:p>
            <w:r>
              <w:rPr>
                <w:sz w:val="16"/>
              </w:rPr>
              <w:t>Head of Marketing</w:t>
            </w:r>
          </w:p>
        </w:tc>
        <w:tc>
          <w:tcPr>
            <w:tcW w:type="dxa" w:w="2466"/>
          </w:tcPr>
          <w:p>
            <w:r>
              <w:rPr>
                <w:sz w:val="16"/>
              </w:rPr>
              <w:t>Suppression list reference, request date, action and provider confirmation where relevant</w:t>
            </w:r>
          </w:p>
        </w:tc>
      </w:tr>
      <w:tr>
        <w:tc>
          <w:tcPr>
            <w:tcW w:type="dxa" w:w="2466"/>
          </w:tcPr>
          <w:p>
            <w:r>
              <w:rPr>
                <w:sz w:val="16"/>
              </w:rPr>
              <w:t>Campaign release</w:t>
            </w:r>
          </w:p>
        </w:tc>
        <w:tc>
          <w:tcPr>
            <w:tcW w:type="dxa" w:w="2466"/>
          </w:tcPr>
          <w:p>
            <w:r>
              <w:rPr>
                <w:sz w:val="16"/>
              </w:rPr>
              <w:t>Reconcile the approved audience with DNC results, consent evidence and suppressions. Hold unresolved sources or numbers; obtain DPO review before release.</w:t>
            </w:r>
          </w:p>
        </w:tc>
        <w:tc>
          <w:tcPr>
            <w:tcW w:type="dxa" w:w="2466"/>
          </w:tcPr>
          <w:p>
            <w:r>
              <w:rPr>
                <w:sz w:val="16"/>
              </w:rPr>
              <w:t>Head of Marketing</w:t>
            </w:r>
          </w:p>
        </w:tc>
        <w:tc>
          <w:tcPr>
            <w:tcW w:type="dxa" w:w="2466"/>
          </w:tcPr>
          <w:p>
            <w:r>
              <w:rPr>
                <w:sz w:val="16"/>
              </w:rPr>
              <w:t>Final batch reference, exclusions, approval and release decision</w:t>
            </w:r>
          </w:p>
        </w:tc>
      </w:tr>
    </w:tbl>
    <w:p/>
    <w:p>
      <w:r>
        <w:rPr/>
        <w:t>The checklist should be repeated for a later batch if the facts or relevant check status have changed. Do not treat a check for one channel as automatically covering another.</w:t>
      </w:r>
    </w:p>
    <w:p>
      <w:pPr>
        <w:pStyle w:val="Heading2"/>
      </w:pPr>
      <w:r>
        <w:t>3. Campaign record fields</w:t>
      </w:r>
    </w:p>
    <w:p>
      <w:r>
        <w:rPr/>
        <w:t>The Head of Marketing should keep a record for each campaign and batch, with access limited to staff who need it. Include:</w:t>
      </w:r>
    </w:p>
    <w:p>
      <w:pPr>
        <w:pStyle w:val="ListBullet"/>
      </w:pPr>
      <w:r>
        <w:t>Campaign and batch reference, purpose, proposed message and channels.</w:t>
      </w:r>
    </w:p>
    <w:p>
      <w:pPr>
        <w:pStyle w:val="ListBullet"/>
      </w:pPr>
      <w:r>
        <w:t>List sources, collection methods and the person or role responsible for each source.</w:t>
      </w:r>
    </w:p>
    <w:p>
      <w:pPr>
        <w:pStyle w:val="ListBullet"/>
      </w:pPr>
      <w:r>
        <w:t>Number-list or file reference and secure evidence location; avoid copying the full prospect list into the decision record.</w:t>
      </w:r>
    </w:p>
    <w:p>
      <w:pPr>
        <w:pStyle w:val="ListBullet"/>
      </w:pPr>
      <w:r>
        <w:t>Consent wording and evidence references where consent is relied on, including any gaps or withdrawals.</w:t>
      </w:r>
    </w:p>
    <w:p>
      <w:pPr>
        <w:pStyle w:val="ListBullet"/>
      </w:pPr>
      <w:r>
        <w:t>DNC check date, relevant registers or channels checked, results, exclusions and evidence location.</w:t>
      </w:r>
    </w:p>
    <w:p>
      <w:pPr>
        <w:pStyle w:val="ListBullet"/>
      </w:pPr>
      <w:r>
        <w:t>Suppression check, opt-out contact route and any instructions sent to a calling provider.</w:t>
      </w:r>
    </w:p>
    <w:p>
      <w:pPr>
        <w:pStyle w:val="ListBullet"/>
      </w:pPr>
      <w:r>
        <w:t>Approved sender identification, contact details and message or script version.</w:t>
      </w:r>
    </w:p>
    <w:p>
      <w:pPr>
        <w:pStyle w:val="ListBullet"/>
      </w:pPr>
      <w:r>
        <w:t>Voice calling-line identity test and outcome, where applicable.</w:t>
      </w:r>
    </w:p>
    <w:p>
      <w:pPr>
        <w:pStyle w:val="ListBullet"/>
      </w:pPr>
      <w:r>
        <w:t>DPO or legal review, decision, owner, release date and any conditions or unresolved actions.</w:t>
      </w:r>
    </w:p>
    <w:p>
      <w:r>
        <w:rPr/>
        <w:t xml:space="preserve">Keep DNC check records under </w:t>
      </w:r>
      <w:r>
        <w:rPr>
          <w:b/>
        </w:rPr>
        <w:t>RS-08</w:t>
      </w:r>
      <w:r>
        <w:rPr/>
        <w:t xml:space="preserve"> and marketing and consent records under </w:t>
      </w:r>
      <w:r>
        <w:rPr>
          <w:b/>
        </w:rPr>
        <w:t>RS-07</w:t>
      </w:r>
      <w:r>
        <w:rPr/>
        <w:t>, subject to Quillmarrow’s confirmed B8 decisions. Do not invent a retention period. Preserve enough evidence to reconstruct the decision without keeping unnecessary copies of personal data.</w:t>
      </w:r>
    </w:p>
    <w:p>
      <w:pPr>
        <w:pStyle w:val="Heading2"/>
      </w:pPr>
      <w:r>
        <w:t>4. Worked example: Q4 SME owners campaign</w:t>
      </w:r>
    </w:p>
    <w:p>
      <w:r>
        <w:rPr/>
        <w:t>This example illustrates one proposed batch; it is not evidence that the campaign was run or that checks occurred.</w:t>
      </w:r>
    </w:p>
    <w:p>
      <w:r>
        <w:rPr/>
        <w:t xml:space="preserve">The Head of Marketing has identified </w:t>
      </w:r>
      <w:r>
        <w:rPr>
          <w:b/>
        </w:rPr>
        <w:t>five illustrative list sources</w:t>
      </w:r>
      <w:r>
        <w:rPr/>
        <w:t xml:space="preserve"> for PD-10. Consent evidence is available for three and missing for </w:t>
      </w:r>
      <w:r>
        <w:rPr>
          <w:b/>
        </w:rPr>
        <w:t>two of the five</w:t>
      </w:r>
      <w:r>
        <w:rPr/>
        <w:t>:</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Source</w:t>
            </w:r>
          </w:p>
        </w:tc>
        <w:tc>
          <w:tcPr>
            <w:tcW w:type="dxa" w:w="2466"/>
            <w:shd w:val="clear" w:color="auto" w:fill="E9EDF1"/>
          </w:tcPr>
          <w:p>
            <w:r>
              <w:rPr>
                <w:b/>
                <w:sz w:val="16"/>
              </w:rPr>
              <w:t>Where the numbers came from</w:t>
            </w:r>
          </w:p>
        </w:tc>
        <w:tc>
          <w:tcPr>
            <w:tcW w:type="dxa" w:w="2466"/>
            <w:shd w:val="clear" w:color="auto" w:fill="E9EDF1"/>
          </w:tcPr>
          <w:p>
            <w:r>
              <w:rPr>
                <w:b/>
                <w:sz w:val="16"/>
              </w:rPr>
              <w:t>Consent evidence</w:t>
            </w:r>
          </w:p>
        </w:tc>
        <w:tc>
          <w:tcPr>
            <w:tcW w:type="dxa" w:w="2466"/>
            <w:shd w:val="clear" w:color="auto" w:fill="E9EDF1"/>
          </w:tcPr>
          <w:p>
            <w:r>
              <w:rPr>
                <w:b/>
                <w:sz w:val="16"/>
              </w:rPr>
              <w:t>Decision for this batch</w:t>
            </w:r>
          </w:p>
        </w:tc>
      </w:tr>
      <w:tr>
        <w:tc>
          <w:tcPr>
            <w:tcW w:type="dxa" w:w="2466"/>
          </w:tcPr>
          <w:p>
            <w:r>
              <w:rPr>
                <w:sz w:val="16"/>
              </w:rPr>
              <w:t>S1</w:t>
            </w:r>
          </w:p>
        </w:tc>
        <w:tc>
          <w:tcPr>
            <w:tcW w:type="dxa" w:w="2466"/>
          </w:tcPr>
          <w:p>
            <w:r>
              <w:rPr>
                <w:sz w:val="16"/>
              </w:rPr>
              <w:t>Showroom sign-up cards with the new unticked choice (PD-09, after the B6 change)</w:t>
            </w:r>
          </w:p>
        </w:tc>
        <w:tc>
          <w:tcPr>
            <w:tcW w:type="dxa" w:w="2466"/>
          </w:tcPr>
          <w:p>
            <w:r>
              <w:rPr>
                <w:sz w:val="16"/>
              </w:rPr>
              <w:t>Yes: signed card and wording version</w:t>
            </w:r>
          </w:p>
        </w:tc>
        <w:tc>
          <w:tcPr>
            <w:tcW w:type="dxa" w:w="2466"/>
          </w:tcPr>
          <w:p>
            <w:r>
              <w:rPr>
                <w:sz w:val="16"/>
              </w:rPr>
              <w:t>Eligible after DNC check</w:t>
            </w:r>
          </w:p>
        </w:tc>
      </w:tr>
      <w:tr>
        <w:tc>
          <w:tcPr>
            <w:tcW w:type="dxa" w:w="2466"/>
          </w:tcPr>
          <w:p>
            <w:r>
              <w:rPr>
                <w:sz w:val="16"/>
              </w:rPr>
              <w:t>S2</w:t>
            </w:r>
          </w:p>
        </w:tc>
        <w:tc>
          <w:tcPr>
            <w:tcW w:type="dxa" w:w="2466"/>
          </w:tcPr>
          <w:p>
            <w:r>
              <w:rPr>
                <w:sz w:val="16"/>
              </w:rPr>
              <w:t>Web-shop customers who ticked the marketing choice (PD-08)</w:t>
            </w:r>
          </w:p>
        </w:tc>
        <w:tc>
          <w:tcPr>
            <w:tcW w:type="dxa" w:w="2466"/>
          </w:tcPr>
          <w:p>
            <w:r>
              <w:rPr>
                <w:sz w:val="16"/>
              </w:rPr>
              <w:t>Yes: system record and wording version</w:t>
            </w:r>
          </w:p>
        </w:tc>
        <w:tc>
          <w:tcPr>
            <w:tcW w:type="dxa" w:w="2466"/>
          </w:tcPr>
          <w:p>
            <w:r>
              <w:rPr>
                <w:sz w:val="16"/>
              </w:rPr>
              <w:t>Eligible after DNC check</w:t>
            </w:r>
          </w:p>
        </w:tc>
      </w:tr>
      <w:tr>
        <w:tc>
          <w:tcPr>
            <w:tcW w:type="dxa" w:w="2466"/>
          </w:tcPr>
          <w:p>
            <w:r>
              <w:rPr>
                <w:sz w:val="16"/>
              </w:rPr>
              <w:t>S3</w:t>
            </w:r>
          </w:p>
        </w:tc>
        <w:tc>
          <w:tcPr>
            <w:tcW w:type="dxa" w:w="2466"/>
          </w:tcPr>
          <w:p>
            <w:r>
              <w:rPr>
                <w:sz w:val="16"/>
              </w:rPr>
              <w:t>Trade-fair enquiry forms, 2026, with a separate call consent line</w:t>
            </w:r>
          </w:p>
        </w:tc>
        <w:tc>
          <w:tcPr>
            <w:tcW w:type="dxa" w:w="2466"/>
          </w:tcPr>
          <w:p>
            <w:r>
              <w:rPr>
                <w:sz w:val="16"/>
              </w:rPr>
              <w:t>Yes: forms scanned</w:t>
            </w:r>
          </w:p>
        </w:tc>
        <w:tc>
          <w:tcPr>
            <w:tcW w:type="dxa" w:w="2466"/>
          </w:tcPr>
          <w:p>
            <w:r>
              <w:rPr>
                <w:sz w:val="16"/>
              </w:rPr>
              <w:t>Eligible after DNC check</w:t>
            </w:r>
          </w:p>
        </w:tc>
      </w:tr>
      <w:tr>
        <w:tc>
          <w:tcPr>
            <w:tcW w:type="dxa" w:w="2466"/>
          </w:tcPr>
          <w:p>
            <w:r>
              <w:rPr>
                <w:sz w:val="16"/>
              </w:rPr>
              <w:t>S4</w:t>
            </w:r>
          </w:p>
        </w:tc>
        <w:tc>
          <w:tcPr>
            <w:tcW w:type="dxa" w:w="2466"/>
          </w:tcPr>
          <w:p>
            <w:r>
              <w:rPr>
                <w:sz w:val="16"/>
              </w:rPr>
              <w:t>Older showroom sign-ups before the B6 change</w:t>
            </w:r>
          </w:p>
        </w:tc>
        <w:tc>
          <w:tcPr>
            <w:tcW w:type="dxa" w:w="2466"/>
          </w:tcPr>
          <w:p>
            <w:r>
              <w:rPr>
                <w:sz w:val="16"/>
              </w:rPr>
              <w:t>Missing</w:t>
            </w:r>
          </w:p>
        </w:tc>
        <w:tc>
          <w:tcPr>
            <w:tcW w:type="dxa" w:w="2466"/>
          </w:tcPr>
          <w:p>
            <w:r>
              <w:rPr>
                <w:b/>
                <w:sz w:val="16"/>
              </w:rPr>
              <w:t>Hold</w:t>
            </w:r>
            <w:r>
              <w:rPr>
                <w:sz w:val="16"/>
              </w:rPr>
              <w:t>: not called; DPO and lawyer review</w:t>
            </w:r>
          </w:p>
        </w:tc>
      </w:tr>
      <w:tr>
        <w:tc>
          <w:tcPr>
            <w:tcW w:type="dxa" w:w="2466"/>
          </w:tcPr>
          <w:p>
            <w:r>
              <w:rPr>
                <w:sz w:val="16"/>
              </w:rPr>
              <w:t>S5</w:t>
            </w:r>
          </w:p>
        </w:tc>
        <w:tc>
          <w:tcPr>
            <w:tcW w:type="dxa" w:w="2466"/>
          </w:tcPr>
          <w:p>
            <w:r>
              <w:rPr>
                <w:sz w:val="16"/>
              </w:rPr>
              <w:t>B2B contacts from the 2025 account form with the pre-ticked box (PD-04)</w:t>
            </w:r>
          </w:p>
        </w:tc>
        <w:tc>
          <w:tcPr>
            <w:tcW w:type="dxa" w:w="2466"/>
          </w:tcPr>
          <w:p>
            <w:r>
              <w:rPr>
                <w:sz w:val="16"/>
              </w:rPr>
              <w:t>Missing: pre-ticked box is not a clear choice</w:t>
            </w:r>
          </w:p>
        </w:tc>
        <w:tc>
          <w:tcPr>
            <w:tcW w:type="dxa" w:w="2466"/>
          </w:tcPr>
          <w:p>
            <w:r>
              <w:rPr>
                <w:b/>
                <w:sz w:val="16"/>
              </w:rPr>
              <w:t>Hold</w:t>
            </w:r>
            <w:r>
              <w:rPr>
                <w:sz w:val="16"/>
              </w:rPr>
              <w:t>: not called; re-ask through B6 before any use</w:t>
            </w:r>
          </w:p>
        </w:tc>
      </w:tr>
    </w:tbl>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Check for the example batch</w:t>
            </w:r>
          </w:p>
        </w:tc>
        <w:tc>
          <w:tcPr>
            <w:tcW w:type="dxa" w:w="4933"/>
            <w:shd w:val="clear" w:color="auto" w:fill="E9EDF1"/>
          </w:tcPr>
          <w:p>
            <w:r>
              <w:rPr>
                <w:b/>
                <w:sz w:val="16"/>
              </w:rPr>
              <w:t>Illustrative completion or action</w:t>
            </w:r>
          </w:p>
        </w:tc>
      </w:tr>
      <w:tr>
        <w:tc>
          <w:tcPr>
            <w:tcW w:type="dxa" w:w="4933"/>
          </w:tcPr>
          <w:p>
            <w:r>
              <w:rPr>
                <w:sz w:val="16"/>
              </w:rPr>
              <w:t>Purpose and channel</w:t>
            </w:r>
          </w:p>
        </w:tc>
        <w:tc>
          <w:tcPr>
            <w:tcW w:type="dxa" w:w="4933"/>
          </w:tcPr>
          <w:p>
            <w:r>
              <w:rPr>
                <w:sz w:val="16"/>
              </w:rPr>
              <w:t>Record the proposed SME offer and whether the batch uses voice calls, SMS or another channel. DPO review remains needed before release.</w:t>
            </w:r>
          </w:p>
        </w:tc>
      </w:tr>
      <w:tr>
        <w:tc>
          <w:tcPr>
            <w:tcW w:type="dxa" w:w="4933"/>
          </w:tcPr>
          <w:p>
            <w:r>
              <w:rPr>
                <w:sz w:val="16"/>
              </w:rPr>
              <w:t>Source and consent review</w:t>
            </w:r>
          </w:p>
        </w:tc>
        <w:tc>
          <w:tcPr>
            <w:tcW w:type="dxa" w:w="4933"/>
          </w:tcPr>
          <w:p>
            <w:r>
              <w:rPr>
                <w:sz w:val="16"/>
              </w:rPr>
              <w:t>Record all five sources separately. Review the wording and channel coverage for the three sources with evidence. Hold the two sources with missing evidence; do not reconstruct consent as fact.</w:t>
            </w:r>
          </w:p>
        </w:tc>
      </w:tr>
      <w:tr>
        <w:tc>
          <w:tcPr>
            <w:tcW w:type="dxa" w:w="4933"/>
          </w:tcPr>
          <w:p>
            <w:r>
              <w:rPr>
                <w:sz w:val="16"/>
              </w:rPr>
              <w:t>DNC check</w:t>
            </w:r>
          </w:p>
        </w:tc>
        <w:tc>
          <w:tcPr>
            <w:tcW w:type="dxa" w:w="4933"/>
          </w:tcPr>
          <w:p>
            <w:r>
              <w:rPr>
                <w:sz w:val="16"/>
              </w:rPr>
              <w:t>Check eligible numbers against the relevant registers within the validity period set by the PDPC (confirm the current period). Record the batch reference and exclusions.</w:t>
            </w:r>
          </w:p>
        </w:tc>
      </w:tr>
      <w:tr>
        <w:tc>
          <w:tcPr>
            <w:tcW w:type="dxa" w:w="4933"/>
          </w:tcPr>
          <w:p>
            <w:r>
              <w:rPr>
                <w:sz w:val="16"/>
              </w:rPr>
              <w:t>Message and identity</w:t>
            </w:r>
          </w:p>
        </w:tc>
        <w:tc>
          <w:tcPr>
            <w:tcW w:type="dxa" w:w="4933"/>
          </w:tcPr>
          <w:p>
            <w:r>
              <w:rPr>
                <w:sz w:val="16"/>
              </w:rPr>
              <w:t>Prepare the message or script with Quillmarrow’s identification and contact details. For voice calls, test that the calling line identity is not concealed.</w:t>
            </w:r>
          </w:p>
        </w:tc>
      </w:tr>
      <w:tr>
        <w:tc>
          <w:tcPr>
            <w:tcW w:type="dxa" w:w="4933"/>
          </w:tcPr>
          <w:p>
            <w:r>
              <w:rPr>
                <w:sz w:val="16"/>
              </w:rPr>
              <w:t>Opt-outs</w:t>
            </w:r>
          </w:p>
        </w:tc>
        <w:tc>
          <w:tcPr>
            <w:tcW w:type="dxa" w:w="4933"/>
          </w:tcPr>
          <w:p>
            <w:r>
              <w:rPr>
                <w:sz w:val="16"/>
              </w:rPr>
              <w:t>Apply the current suppression list and confirm who will process new opt-outs and inform any provider.</w:t>
            </w:r>
          </w:p>
        </w:tc>
      </w:tr>
      <w:tr>
        <w:tc>
          <w:tcPr>
            <w:tcW w:type="dxa" w:w="4933"/>
          </w:tcPr>
          <w:p>
            <w:r>
              <w:rPr>
                <w:sz w:val="16"/>
              </w:rPr>
              <w:t>Release decision</w:t>
            </w:r>
          </w:p>
        </w:tc>
        <w:tc>
          <w:tcPr>
            <w:tcW w:type="dxa" w:w="4933"/>
          </w:tcPr>
          <w:p>
            <w:r>
              <w:rPr>
                <w:sz w:val="16"/>
              </w:rPr>
              <w:t>The Head of Marketing and DPO review the evidence and exclusions. Release only an eligible, approved batch; the two missing-evidence sources remain on hold pending review and legal advice.</w:t>
            </w:r>
          </w:p>
        </w:tc>
      </w:tr>
    </w:tbl>
    <w:p/>
    <w:p>
      <w:r>
        <w:rPr/>
        <w:t>Consent evidence from the other sources is not, by itself, proof that every intended contact may proceed. The DPO should review the proposed basis, register checks and exceptions with a lawyer where needed.</w:t>
      </w:r>
    </w:p>
    <w:p>
      <w:pPr>
        <w:pStyle w:val="Heading2"/>
      </w:pPr>
      <w:r>
        <w:t>5. Owner roles and monthly check</w:t>
      </w:r>
    </w:p>
    <w:p>
      <w:r>
        <w:rPr/>
        <w:t xml:space="preserve">The </w:t>
      </w:r>
      <w:r>
        <w:rPr>
          <w:b/>
        </w:rPr>
        <w:t>Head of Marketing</w:t>
      </w:r>
      <w:r>
        <w:rPr/>
        <w:t xml:space="preserve"> owns the campaign record, list sources, consent evidence and suppression process. The </w:t>
      </w:r>
      <w:r>
        <w:rPr>
          <w:b/>
        </w:rPr>
        <w:t>Sales Manager</w:t>
      </w:r>
      <w:r>
        <w:rPr/>
        <w:t xml:space="preserve"> owns the voice-call script and calling-line test. The </w:t>
      </w:r>
      <w:r>
        <w:rPr>
          <w:b/>
        </w:rPr>
        <w:t>DPO</w:t>
      </w:r>
      <w:r>
        <w:rPr/>
        <w:t xml:space="preserve"> reviews questions about applicability, exceptions and unresolved evidence, and coordinates legal advice.</w:t>
      </w:r>
    </w:p>
    <w:p>
      <w:r>
        <w:rPr/>
        <w:t xml:space="preserve">The DPO should conduct a </w:t>
      </w:r>
      <w:r>
        <w:rPr>
          <w:b/>
        </w:rPr>
        <w:t>monthly sample check</w:t>
      </w:r>
      <w:r>
        <w:rPr/>
        <w:t xml:space="preserve"> of campaign records, register-check evidence, message versions and opt-out handling. Record findings, corrective actions, owner and target date in B2 under G-11.</w:t>
      </w:r>
    </w:p>
    <w:p>
      <w:r>
        <w:rPr/>
        <w:t xml:space="preserve">By </w:t>
      </w:r>
      <w:r>
        <w:rPr>
          <w:b/>
        </w:rPr>
        <w:t>13 November 2026</w:t>
      </w:r>
      <w:r>
        <w:rPr/>
        <w:t xml:space="preserve"> (G-11 target in B2), the Head of Marketing should prepare the register-check procedure, standard sender details and campaign record for DPO review. The campaign should not be treated as ready merely because this checklist exists.</w:t>
      </w:r>
    </w:p>
    <w:p>
      <w:pPr>
        <w:pStyle w:val="Heading2"/>
      </w:pPr>
      <w:r>
        <w:t>6. Go or no-go gate</w:t>
      </w:r>
    </w:p>
    <w:p>
      <w:r>
        <w:rPr/>
        <w:t>The campaign starts only when the Head of Marketing can show the DPO all of the following. If any one is missing, the answer is no-go and the gap stays open in B2 under G-11.</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Gate item</w:t>
            </w:r>
          </w:p>
        </w:tc>
        <w:tc>
          <w:tcPr>
            <w:tcW w:type="dxa" w:w="3289"/>
            <w:shd w:val="clear" w:color="auto" w:fill="E9EDF1"/>
          </w:tcPr>
          <w:p>
            <w:r>
              <w:rPr>
                <w:b/>
                <w:sz w:val="16"/>
              </w:rPr>
              <w:t>Evidence</w:t>
            </w:r>
          </w:p>
        </w:tc>
        <w:tc>
          <w:tcPr>
            <w:tcW w:type="dxa" w:w="3289"/>
            <w:shd w:val="clear" w:color="auto" w:fill="E9EDF1"/>
          </w:tcPr>
          <w:p>
            <w:r>
              <w:rPr>
                <w:b/>
                <w:sz w:val="16"/>
              </w:rPr>
              <w:t>Owner role</w:t>
            </w:r>
          </w:p>
        </w:tc>
      </w:tr>
      <w:tr>
        <w:tc>
          <w:tcPr>
            <w:tcW w:type="dxa" w:w="3289"/>
          </w:tcPr>
          <w:p>
            <w:r>
              <w:rPr>
                <w:sz w:val="16"/>
              </w:rPr>
              <w:t>Every number traced to a source (S1 to S5)</w:t>
            </w:r>
          </w:p>
        </w:tc>
        <w:tc>
          <w:tcPr>
            <w:tcW w:type="dxa" w:w="3289"/>
          </w:tcPr>
          <w:p>
            <w:r>
              <w:rPr>
                <w:sz w:val="16"/>
              </w:rPr>
              <w:t>Source list</w:t>
            </w:r>
          </w:p>
        </w:tc>
        <w:tc>
          <w:tcPr>
            <w:tcW w:type="dxa" w:w="3289"/>
          </w:tcPr>
          <w:p>
            <w:r>
              <w:rPr>
                <w:sz w:val="16"/>
              </w:rPr>
              <w:t>Head of Marketing</w:t>
            </w:r>
          </w:p>
        </w:tc>
      </w:tr>
      <w:tr>
        <w:tc>
          <w:tcPr>
            <w:tcW w:type="dxa" w:w="3289"/>
          </w:tcPr>
          <w:p>
            <w:r>
              <w:rPr>
                <w:sz w:val="16"/>
              </w:rPr>
              <w:t>Held sources removed from the batch</w:t>
            </w:r>
          </w:p>
        </w:tc>
        <w:tc>
          <w:tcPr>
            <w:tcW w:type="dxa" w:w="3289"/>
          </w:tcPr>
          <w:p>
            <w:r>
              <w:rPr>
                <w:sz w:val="16"/>
              </w:rPr>
              <w:t>Batch file reference and count removed</w:t>
            </w:r>
          </w:p>
        </w:tc>
        <w:tc>
          <w:tcPr>
            <w:tcW w:type="dxa" w:w="3289"/>
          </w:tcPr>
          <w:p>
            <w:r>
              <w:rPr>
                <w:sz w:val="16"/>
              </w:rPr>
              <w:t>Head of Marketing</w:t>
            </w:r>
          </w:p>
        </w:tc>
      </w:tr>
      <w:tr>
        <w:tc>
          <w:tcPr>
            <w:tcW w:type="dxa" w:w="3289"/>
          </w:tcPr>
          <w:p>
            <w:r>
              <w:rPr>
                <w:sz w:val="16"/>
              </w:rPr>
              <w:t>DNC check done within the valid period</w:t>
            </w:r>
          </w:p>
        </w:tc>
        <w:tc>
          <w:tcPr>
            <w:tcW w:type="dxa" w:w="3289"/>
          </w:tcPr>
          <w:p>
            <w:r>
              <w:rPr>
                <w:sz w:val="16"/>
              </w:rPr>
              <w:t>Check date and exclusions record</w:t>
            </w:r>
          </w:p>
        </w:tc>
        <w:tc>
          <w:tcPr>
            <w:tcW w:type="dxa" w:w="3289"/>
          </w:tcPr>
          <w:p>
            <w:r>
              <w:rPr>
                <w:sz w:val="16"/>
              </w:rPr>
              <w:t>Head of Marketing</w:t>
            </w:r>
          </w:p>
        </w:tc>
      </w:tr>
      <w:tr>
        <w:tc>
          <w:tcPr>
            <w:tcW w:type="dxa" w:w="3289"/>
          </w:tcPr>
          <w:p>
            <w:r>
              <w:rPr>
                <w:sz w:val="16"/>
              </w:rPr>
              <w:t>Standard sender details in the script</w:t>
            </w:r>
          </w:p>
        </w:tc>
        <w:tc>
          <w:tcPr>
            <w:tcW w:type="dxa" w:w="3289"/>
          </w:tcPr>
          <w:p>
            <w:r>
              <w:rPr>
                <w:sz w:val="16"/>
              </w:rPr>
              <w:t>Approved script version</w:t>
            </w:r>
          </w:p>
        </w:tc>
        <w:tc>
          <w:tcPr>
            <w:tcW w:type="dxa" w:w="3289"/>
          </w:tcPr>
          <w:p>
            <w:r>
              <w:rPr>
                <w:sz w:val="16"/>
              </w:rPr>
              <w:t>Sales Manager</w:t>
            </w:r>
          </w:p>
        </w:tc>
      </w:tr>
      <w:tr>
        <w:tc>
          <w:tcPr>
            <w:tcW w:type="dxa" w:w="3289"/>
          </w:tcPr>
          <w:p>
            <w:r>
              <w:rPr>
                <w:sz w:val="16"/>
              </w:rPr>
              <w:t>Calling line identity tested</w:t>
            </w:r>
          </w:p>
        </w:tc>
        <w:tc>
          <w:tcPr>
            <w:tcW w:type="dxa" w:w="3289"/>
          </w:tcPr>
          <w:p>
            <w:r>
              <w:rPr>
                <w:sz w:val="16"/>
              </w:rPr>
              <w:t>Test record</w:t>
            </w:r>
          </w:p>
        </w:tc>
        <w:tc>
          <w:tcPr>
            <w:tcW w:type="dxa" w:w="3289"/>
          </w:tcPr>
          <w:p>
            <w:r>
              <w:rPr>
                <w:sz w:val="16"/>
              </w:rPr>
              <w:t>Sales Manager</w:t>
            </w:r>
          </w:p>
        </w:tc>
      </w:tr>
      <w:tr>
        <w:tc>
          <w:tcPr>
            <w:tcW w:type="dxa" w:w="3289"/>
          </w:tcPr>
          <w:p>
            <w:r>
              <w:rPr>
                <w:sz w:val="16"/>
              </w:rPr>
              <w:t>Opt-out route working and suppression list applied</w:t>
            </w:r>
          </w:p>
        </w:tc>
        <w:tc>
          <w:tcPr>
            <w:tcW w:type="dxa" w:w="3289"/>
          </w:tcPr>
          <w:p>
            <w:r>
              <w:rPr>
                <w:sz w:val="16"/>
              </w:rPr>
              <w:t>B6 test record</w:t>
            </w:r>
          </w:p>
        </w:tc>
        <w:tc>
          <w:tcPr>
            <w:tcW w:type="dxa" w:w="3289"/>
          </w:tcPr>
          <w:p>
            <w:r>
              <w:rPr>
                <w:sz w:val="16"/>
              </w:rPr>
              <w:t>Head of Marketing</w:t>
            </w:r>
          </w:p>
        </w:tc>
      </w:tr>
      <w:tr>
        <w:tc>
          <w:tcPr>
            <w:tcW w:type="dxa" w:w="3289"/>
          </w:tcPr>
          <w:p>
            <w:r>
              <w:rPr>
                <w:sz w:val="16"/>
              </w:rPr>
              <w:t>DPO sign-off</w:t>
            </w:r>
          </w:p>
        </w:tc>
        <w:tc>
          <w:tcPr>
            <w:tcW w:type="dxa" w:w="3289"/>
          </w:tcPr>
          <w:p>
            <w:r>
              <w:rPr>
                <w:sz w:val="16"/>
              </w:rPr>
              <w:t>Dated note in the campaign record</w:t>
            </w:r>
          </w:p>
        </w:tc>
        <w:tc>
          <w:tcPr>
            <w:tcW w:type="dxa" w:w="3289"/>
          </w:tcPr>
          <w:p>
            <w:r>
              <w:rPr>
                <w:sz w:val="16"/>
              </w:rPr>
              <w:t>Head of Operations, appointed DPO</w:t>
            </w:r>
          </w:p>
        </w:tc>
      </w:tr>
    </w:tbl>
    <w:p/>
    <w:p>
      <w:pPr>
        <w:pStyle w:val="Heading2"/>
      </w:pPr>
      <w:r>
        <w:t>7. Next actions</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Action</w:t>
            </w:r>
          </w:p>
        </w:tc>
        <w:tc>
          <w:tcPr>
            <w:tcW w:type="dxa" w:w="2466"/>
            <w:shd w:val="clear" w:color="auto" w:fill="E9EDF1"/>
          </w:tcPr>
          <w:p>
            <w:r>
              <w:rPr>
                <w:b/>
                <w:sz w:val="16"/>
              </w:rPr>
              <w:t>Owner role</w:t>
            </w:r>
          </w:p>
        </w:tc>
        <w:tc>
          <w:tcPr>
            <w:tcW w:type="dxa" w:w="2466"/>
            <w:shd w:val="clear" w:color="auto" w:fill="E9EDF1"/>
          </w:tcPr>
          <w:p>
            <w:r>
              <w:rPr>
                <w:b/>
                <w:sz w:val="16"/>
              </w:rPr>
              <w:t>Evidence</w:t>
            </w:r>
          </w:p>
        </w:tc>
        <w:tc>
          <w:tcPr>
            <w:tcW w:type="dxa" w:w="2466"/>
            <w:shd w:val="clear" w:color="auto" w:fill="E9EDF1"/>
          </w:tcPr>
          <w:p>
            <w:r>
              <w:rPr>
                <w:b/>
                <w:sz w:val="16"/>
              </w:rPr>
              <w:t>Target</w:t>
            </w:r>
          </w:p>
        </w:tc>
      </w:tr>
      <w:tr>
        <w:tc>
          <w:tcPr>
            <w:tcW w:type="dxa" w:w="2466"/>
          </w:tcPr>
          <w:p>
            <w:r>
              <w:rPr>
                <w:sz w:val="16"/>
              </w:rPr>
              <w:t>Confirm with a lawyer which messages in the campaign are specified messages and whether any exception applies</w:t>
            </w:r>
          </w:p>
        </w:tc>
        <w:tc>
          <w:tcPr>
            <w:tcW w:type="dxa" w:w="2466"/>
          </w:tcPr>
          <w:p>
            <w:r>
              <w:rPr>
                <w:sz w:val="16"/>
              </w:rPr>
              <w:t>Head of Operations, appointed DPO</w:t>
            </w:r>
          </w:p>
        </w:tc>
        <w:tc>
          <w:tcPr>
            <w:tcW w:type="dxa" w:w="2466"/>
          </w:tcPr>
          <w:p>
            <w:r>
              <w:rPr>
                <w:sz w:val="16"/>
              </w:rPr>
              <w:t>Written advice on file</w:t>
            </w:r>
          </w:p>
        </w:tc>
        <w:tc>
          <w:tcPr>
            <w:tcW w:type="dxa" w:w="2466"/>
          </w:tcPr>
          <w:p>
            <w:r>
              <w:rPr>
                <w:sz w:val="16"/>
              </w:rPr>
              <w:t>13 November 2026</w:t>
            </w:r>
          </w:p>
        </w:tc>
      </w:tr>
      <w:tr>
        <w:tc>
          <w:tcPr>
            <w:tcW w:type="dxa" w:w="2466"/>
          </w:tcPr>
          <w:p>
            <w:r>
              <w:rPr>
                <w:sz w:val="16"/>
              </w:rPr>
              <w:t>Build the S1 to S5 source list and remove S4 and S5 from the first batch</w:t>
            </w:r>
          </w:p>
        </w:tc>
        <w:tc>
          <w:tcPr>
            <w:tcW w:type="dxa" w:w="2466"/>
          </w:tcPr>
          <w:p>
            <w:r>
              <w:rPr>
                <w:sz w:val="16"/>
              </w:rPr>
              <w:t>Head of Marketing</w:t>
            </w:r>
          </w:p>
        </w:tc>
        <w:tc>
          <w:tcPr>
            <w:tcW w:type="dxa" w:w="2466"/>
          </w:tcPr>
          <w:p>
            <w:r>
              <w:rPr>
                <w:sz w:val="16"/>
              </w:rPr>
              <w:t>Source list and batch file</w:t>
            </w:r>
          </w:p>
        </w:tc>
        <w:tc>
          <w:tcPr>
            <w:tcW w:type="dxa" w:w="2466"/>
          </w:tcPr>
          <w:p>
            <w:r>
              <w:rPr>
                <w:sz w:val="16"/>
              </w:rPr>
              <w:t>13 November 2026</w:t>
            </w:r>
          </w:p>
        </w:tc>
      </w:tr>
      <w:tr>
        <w:tc>
          <w:tcPr>
            <w:tcW w:type="dxa" w:w="2466"/>
          </w:tcPr>
          <w:p>
            <w:r>
              <w:rPr>
                <w:sz w:val="16"/>
              </w:rPr>
              <w:t>Approve the standard sender details and call script</w:t>
            </w:r>
          </w:p>
        </w:tc>
        <w:tc>
          <w:tcPr>
            <w:tcW w:type="dxa" w:w="2466"/>
          </w:tcPr>
          <w:p>
            <w:r>
              <w:rPr>
                <w:sz w:val="16"/>
              </w:rPr>
              <w:t>Sales Manager, with DPO</w:t>
            </w:r>
          </w:p>
        </w:tc>
        <w:tc>
          <w:tcPr>
            <w:tcW w:type="dxa" w:w="2466"/>
          </w:tcPr>
          <w:p>
            <w:r>
              <w:rPr>
                <w:sz w:val="16"/>
              </w:rPr>
              <w:t>Approved script version</w:t>
            </w:r>
          </w:p>
        </w:tc>
        <w:tc>
          <w:tcPr>
            <w:tcW w:type="dxa" w:w="2466"/>
          </w:tcPr>
          <w:p>
            <w:r>
              <w:rPr>
                <w:sz w:val="16"/>
              </w:rPr>
              <w:t>13 November 2026</w:t>
            </w:r>
          </w:p>
        </w:tc>
      </w:tr>
      <w:tr>
        <w:tc>
          <w:tcPr>
            <w:tcW w:type="dxa" w:w="2466"/>
          </w:tcPr>
          <w:p>
            <w:r>
              <w:rPr>
                <w:sz w:val="16"/>
              </w:rPr>
              <w:t>Run and file the first DNC check</w:t>
            </w:r>
          </w:p>
        </w:tc>
        <w:tc>
          <w:tcPr>
            <w:tcW w:type="dxa" w:w="2466"/>
          </w:tcPr>
          <w:p>
            <w:r>
              <w:rPr>
                <w:sz w:val="16"/>
              </w:rPr>
              <w:t>Head of Marketing</w:t>
            </w:r>
          </w:p>
        </w:tc>
        <w:tc>
          <w:tcPr>
            <w:tcW w:type="dxa" w:w="2466"/>
          </w:tcPr>
          <w:p>
            <w:r>
              <w:rPr>
                <w:sz w:val="16"/>
              </w:rPr>
              <w:t>Check record and exclusions</w:t>
            </w:r>
          </w:p>
        </w:tc>
        <w:tc>
          <w:tcPr>
            <w:tcW w:type="dxa" w:w="2466"/>
          </w:tcPr>
          <w:p>
            <w:r>
              <w:rPr>
                <w:sz w:val="16"/>
              </w:rPr>
              <w:t>Before the first call</w:t>
            </w:r>
          </w:p>
        </w:tc>
      </w:tr>
      <w:tr>
        <w:tc>
          <w:tcPr>
            <w:tcW w:type="dxa" w:w="2466"/>
          </w:tcPr>
          <w:p>
            <w:r>
              <w:rPr>
                <w:sz w:val="16"/>
              </w:rPr>
              <w:t>First monthly sample check</w:t>
            </w:r>
          </w:p>
        </w:tc>
        <w:tc>
          <w:tcPr>
            <w:tcW w:type="dxa" w:w="2466"/>
          </w:tcPr>
          <w:p>
            <w:r>
              <w:rPr>
                <w:sz w:val="16"/>
              </w:rPr>
              <w:t>Head of Operations, appointed DPO</w:t>
            </w:r>
          </w:p>
        </w:tc>
        <w:tc>
          <w:tcPr>
            <w:tcW w:type="dxa" w:w="2466"/>
          </w:tcPr>
          <w:p>
            <w:r>
              <w:rPr>
                <w:sz w:val="16"/>
              </w:rPr>
              <w:t>Findings logged in B2 under G-11</w:t>
            </w:r>
          </w:p>
        </w:tc>
        <w:tc>
          <w:tcPr>
            <w:tcW w:type="dxa" w:w="2466"/>
          </w:tcPr>
          <w:p>
            <w:r>
              <w:rPr>
                <w:sz w:val="16"/>
              </w:rPr>
              <w:t>One month after the first batch</w:t>
            </w:r>
          </w:p>
        </w:tc>
      </w:tr>
    </w:tbl>
    <w:p/>
    <w:p>
      <w:r>
        <w:rPr/>
        <w:t>This checklist is practical support, not legal advice.</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B12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B12 DNC checklist and process</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