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PDPA PROGRAMME PACK · B16</w:t>
      </w:r>
    </w:p>
    <w:p>
      <w:pPr>
        <w:pStyle w:val="Heading1"/>
      </w:pPr>
      <w:r>
        <w:t>DPO handover pack</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Organisation</w:t>
            </w:r>
          </w:p>
        </w:tc>
        <w:tc>
          <w:tcPr>
            <w:tcW w:type="dxa" w:w="4933"/>
          </w:tcPr>
          <w:p>
            <w:r>
              <w:rPr>
                <w:sz w:val="16"/>
              </w:rPr>
              <w:t>Quillmarrow Supplies Pte. Ltd. (fictional)</w:t>
            </w:r>
          </w:p>
        </w:tc>
      </w:tr>
      <w:tr>
        <w:tc>
          <w:tcPr>
            <w:tcW w:type="dxa" w:w="4933"/>
            <w:shd w:val="clear" w:color="auto" w:fill="E9EDF1"/>
          </w:tcPr>
          <w:p>
            <w:r>
              <w:rPr>
                <w:b/>
                <w:sz w:val="16"/>
              </w:rPr>
              <w:t>Document</w:t>
            </w:r>
          </w:p>
        </w:tc>
        <w:tc>
          <w:tcPr>
            <w:tcW w:type="dxa" w:w="4933"/>
          </w:tcPr>
          <w:p>
            <w:r>
              <w:rPr>
                <w:sz w:val="16"/>
              </w:rPr>
              <w:t>B16 · DPO handover pack</w:t>
            </w:r>
          </w:p>
        </w:tc>
      </w:tr>
      <w:tr>
        <w:tc>
          <w:tcPr>
            <w:tcW w:type="dxa" w:w="4933"/>
            <w:shd w:val="clear" w:color="auto" w:fill="E9EDF1"/>
          </w:tcPr>
          <w:p>
            <w:r>
              <w:rPr>
                <w:b/>
                <w:sz w:val="16"/>
              </w:rPr>
              <w:t>Version</w:t>
            </w:r>
          </w:p>
        </w:tc>
        <w:tc>
          <w:tcPr>
            <w:tcW w:type="dxa" w:w="4933"/>
          </w:tcPr>
          <w:p>
            <w:r>
              <w:rPr>
                <w:sz w:val="16"/>
              </w:rPr>
              <w:t>1.0</w:t>
            </w:r>
          </w:p>
        </w:tc>
      </w:tr>
      <w:tr>
        <w:tc>
          <w:tcPr>
            <w:tcW w:type="dxa" w:w="4933"/>
            <w:shd w:val="clear" w:color="auto" w:fill="E9EDF1"/>
          </w:tcPr>
          <w:p>
            <w:r>
              <w:rPr>
                <w:b/>
                <w:sz w:val="16"/>
              </w:rPr>
              <w:t>Date</w:t>
            </w:r>
          </w:p>
        </w:tc>
        <w:tc>
          <w:tcPr>
            <w:tcW w:type="dxa" w:w="4933"/>
          </w:tcPr>
          <w:p>
            <w:r>
              <w:rPr>
                <w:sz w:val="16"/>
              </w:rPr>
              <w:t>30 October 2026 (illustrative)</w:t>
            </w:r>
          </w:p>
        </w:tc>
      </w:tr>
      <w:tr>
        <w:tc>
          <w:tcPr>
            <w:tcW w:type="dxa" w:w="4933"/>
            <w:shd w:val="clear" w:color="auto" w:fill="E9EDF1"/>
          </w:tcPr>
          <w:p>
            <w:r>
              <w:rPr>
                <w:b/>
                <w:sz w:val="16"/>
              </w:rPr>
              <w:t>Prepared by</w:t>
            </w:r>
          </w:p>
        </w:tc>
        <w:tc>
          <w:tcPr>
            <w:tcW w:type="dxa" w:w="4933"/>
          </w:tcPr>
          <w:p>
            <w:r>
              <w:rPr>
                <w:sz w:val="16"/>
              </w:rPr>
              <w:t>Alex Lew, reviewer and sign-off</w:t>
            </w:r>
          </w:p>
        </w:tc>
      </w:tr>
      <w:tr>
        <w:tc>
          <w:tcPr>
            <w:tcW w:type="dxa" w:w="4933"/>
            <w:shd w:val="clear" w:color="auto" w:fill="E9EDF1"/>
          </w:tcPr>
          <w:p>
            <w:r>
              <w:rPr>
                <w:b/>
                <w:sz w:val="16"/>
              </w:rPr>
              <w:t>Client approver (role)</w:t>
            </w:r>
          </w:p>
        </w:tc>
        <w:tc>
          <w:tcPr>
            <w:tcW w:type="dxa" w:w="4933"/>
          </w:tcPr>
          <w:p>
            <w:r>
              <w:rPr>
                <w:sz w:val="16"/>
              </w:rPr>
              <w:t>Managing Director</w:t>
            </w:r>
          </w:p>
        </w:tc>
      </w:tr>
      <w:tr>
        <w:tc>
          <w:tcPr>
            <w:tcW w:type="dxa" w:w="4933"/>
            <w:shd w:val="clear" w:color="auto" w:fill="E9EDF1"/>
          </w:tcPr>
          <w:p>
            <w:r>
              <w:rPr>
                <w:b/>
                <w:sz w:val="16"/>
              </w:rPr>
              <w:t>Label</w:t>
            </w:r>
          </w:p>
        </w:tc>
        <w:tc>
          <w:tcPr>
            <w:tcW w:type="dxa" w:w="4933"/>
          </w:tcPr>
          <w:p>
            <w:r>
              <w:rPr>
                <w:sz w:val="16"/>
              </w:rPr>
              <w:t>Fictional organisation, illustrative only, not a client case study</w:t>
            </w:r>
          </w:p>
        </w:tc>
      </w:tr>
    </w:tbl>
    <w:p/>
    <w:p>
      <w:pPr>
        <w:pStyle w:val="Heading2"/>
      </w:pPr>
      <w:r>
        <w:t>1. What you are taking over</w:t>
      </w:r>
    </w:p>
    <w:p>
      <w:r>
        <w:rPr/>
        <w:t>As Head of Operations, you are Quillmarrow’s appointed Data Protection Officer (DPO) and the day-to-day owner of its data protection programme. The COO is the programme sponsor. The Managing Director (MD) approves the data protection policy, breach management plan and final pack.</w:t>
      </w:r>
    </w:p>
    <w:p>
      <w:r>
        <w:rPr/>
        <w:t>Quillmarrow has appointed its own DPO. The external reviewer who prepared this pack supports the DPO, is not the DPO, and does not take over Quillmarrow’s decisions or legal responsibilities. Nothing in this pack is legal advice or a statement that Quillmarrow complies with the PDPA.</w:t>
      </w:r>
    </w:p>
    <w:p>
      <w:r>
        <w:rPr/>
        <w:t>This handover brings together the documents, open actions and recurring work needed to maintain the programme. It is an illustrative working pack, not evidence that the proposed controls have been approved or implemented. In particular:</w:t>
      </w:r>
    </w:p>
    <w:p>
      <w:pPr>
        <w:pStyle w:val="ListBullet"/>
      </w:pPr>
      <w:r>
        <w:t xml:space="preserve">The DPO’s business contact has not yet been published under </w:t>
      </w:r>
      <w:r>
        <w:rPr>
          <w:b/>
        </w:rPr>
        <w:t>G-01</w:t>
      </w:r>
      <w:r>
        <w:t>.</w:t>
      </w:r>
    </w:p>
    <w:p>
      <w:pPr>
        <w:pStyle w:val="ListBullet"/>
      </w:pPr>
      <w:r>
        <w:t xml:space="preserve">Notices, consent records and the marketing process need work under </w:t>
      </w:r>
      <w:r>
        <w:rPr>
          <w:b/>
        </w:rPr>
        <w:t>G-02</w:t>
      </w:r>
      <w:r>
        <w:t xml:space="preserve">, </w:t>
      </w:r>
      <w:r>
        <w:rPr>
          <w:b/>
        </w:rPr>
        <w:t>G-04</w:t>
      </w:r>
      <w:r>
        <w:t xml:space="preserve"> and </w:t>
      </w:r>
      <w:r>
        <w:rPr>
          <w:b/>
        </w:rPr>
        <w:t>G-11</w:t>
      </w:r>
      <w:r>
        <w:t>.</w:t>
      </w:r>
    </w:p>
    <w:p>
      <w:pPr>
        <w:pStyle w:val="ListBullet"/>
      </w:pPr>
      <w:r>
        <w:t xml:space="preserve">The retention schedule contains decisions for Quillmarrow to confirm under </w:t>
      </w:r>
      <w:r>
        <w:rPr>
          <w:b/>
        </w:rPr>
        <w:t>G-08</w:t>
      </w:r>
      <w:r>
        <w:t>.</w:t>
      </w:r>
    </w:p>
    <w:p>
      <w:pPr>
        <w:pStyle w:val="ListBullet"/>
      </w:pPr>
      <w:r>
        <w:t xml:space="preserve">Vendor safeguards, the Fictional ShopCloud hosting region and administrator-access checks remain open under </w:t>
      </w:r>
      <w:r>
        <w:rPr>
          <w:b/>
        </w:rPr>
        <w:t>G-07</w:t>
      </w:r>
      <w:r>
        <w:t xml:space="preserve"> and </w:t>
      </w:r>
      <w:r>
        <w:rPr>
          <w:b/>
        </w:rPr>
        <w:t>G-09</w:t>
      </w:r>
      <w:r>
        <w:t>.</w:t>
      </w:r>
    </w:p>
    <w:p>
      <w:pPr>
        <w:pStyle w:val="ListBullet"/>
      </w:pPr>
      <w:r>
        <w:t xml:space="preserve">The breach plan and associated procedures need approval and implementation under </w:t>
      </w:r>
      <w:r>
        <w:rPr>
          <w:b/>
        </w:rPr>
        <w:t>G-10</w:t>
      </w:r>
      <w:r>
        <w:t>.</w:t>
      </w:r>
    </w:p>
    <w:p>
      <w:r>
        <w:rPr/>
        <w:t xml:space="preserve">Use </w:t>
      </w:r>
      <w:r>
        <w:rPr>
          <w:b/>
        </w:rPr>
        <w:t>B2</w:t>
      </w:r>
      <w:r>
        <w:rPr/>
        <w:t xml:space="preserve"> as the action tracker and </w:t>
      </w:r>
      <w:r>
        <w:rPr>
          <w:b/>
        </w:rPr>
        <w:t>B3</w:t>
      </w:r>
      <w:r>
        <w:rPr/>
        <w:t xml:space="preserve"> as the personal data inventory. Assign an owner, target date and evidence for each action. Escalate missed dates or decisions that need authority rather than marking an action complete because a document has been drafted.</w:t>
      </w:r>
    </w:p>
    <w:p>
      <w:pPr>
        <w:pStyle w:val="Heading2"/>
      </w:pPr>
      <w:r>
        <w:t>2. Document index</w:t>
      </w:r>
    </w:p>
    <w:p>
      <w:r>
        <w:rPr/>
        <w:t xml:space="preserve">The SharePoint paths below are </w:t>
      </w:r>
      <w:r>
        <w:rPr>
          <w:b/>
        </w:rPr>
        <w:t>proposed fictional locations</w:t>
      </w:r>
      <w:r>
        <w:rPr/>
        <w:t>, not verified file locations. The DPO and IT Manager should confirm the actual library, permissions, file names and links before issuing the handover.</w:t>
      </w:r>
    </w:p>
    <w:p>
      <w:r>
        <w:rPr/>
        <w:t xml:space="preserve">“Awaiting MD approval” below is a </w:t>
      </w:r>
      <w:r>
        <w:rPr>
          <w:b/>
        </w:rPr>
        <w:t>working handover status</w:t>
      </w:r>
      <w:r>
        <w:rPr/>
        <w:t>, not evidence that a document has been submitted to the MD. Documents marked for lawyer review may also need MD approval as part of the final pack. No item is shown as approved without evidence.</w:t>
      </w:r>
    </w:p>
    <w:tbl>
      <w:tblPr>
        <w:tblStyle w:val="TableGrid"/>
        <w:tblW w:type="auto" w:w="0"/>
        <w:tblLook w:firstColumn="1" w:firstRow="1" w:lastColumn="0" w:lastRow="0" w:noHBand="0" w:noVBand="1" w:val="04A0"/>
      </w:tblPr>
      <w:tblGrid>
        <w:gridCol w:w="1409"/>
        <w:gridCol w:w="1409"/>
        <w:gridCol w:w="1409"/>
        <w:gridCol w:w="1409"/>
        <w:gridCol w:w="1409"/>
        <w:gridCol w:w="1409"/>
        <w:gridCol w:w="1409"/>
      </w:tblGrid>
      <w:tr>
        <w:trPr>
          <w:tblHeader w:val="true"/>
        </w:trPr>
        <w:tc>
          <w:tcPr>
            <w:tcW w:type="dxa" w:w="1409"/>
            <w:shd w:val="clear" w:color="auto" w:fill="E9EDF1"/>
          </w:tcPr>
          <w:p>
            <w:r>
              <w:rPr>
                <w:b/>
                <w:sz w:val="16"/>
              </w:rPr>
              <w:t>ID</w:t>
            </w:r>
          </w:p>
        </w:tc>
        <w:tc>
          <w:tcPr>
            <w:tcW w:type="dxa" w:w="1409"/>
            <w:shd w:val="clear" w:color="auto" w:fill="E9EDF1"/>
          </w:tcPr>
          <w:p>
            <w:r>
              <w:rPr>
                <w:b/>
                <w:sz w:val="16"/>
              </w:rPr>
              <w:t>Document or scope</w:t>
            </w:r>
          </w:p>
        </w:tc>
        <w:tc>
          <w:tcPr>
            <w:tcW w:type="dxa" w:w="1409"/>
            <w:shd w:val="clear" w:color="auto" w:fill="E9EDF1"/>
          </w:tcPr>
          <w:p>
            <w:r>
              <w:rPr>
                <w:b/>
                <w:sz w:val="16"/>
              </w:rPr>
              <w:t>Owner role</w:t>
            </w:r>
          </w:p>
        </w:tc>
        <w:tc>
          <w:tcPr>
            <w:tcW w:type="dxa" w:w="1409"/>
            <w:shd w:val="clear" w:color="auto" w:fill="E9EDF1"/>
          </w:tcPr>
          <w:p>
            <w:r>
              <w:rPr>
                <w:b/>
                <w:sz w:val="16"/>
              </w:rPr>
              <w:t>Approver</w:t>
            </w:r>
          </w:p>
        </w:tc>
        <w:tc>
          <w:tcPr>
            <w:tcW w:type="dxa" w:w="1409"/>
            <w:shd w:val="clear" w:color="auto" w:fill="E9EDF1"/>
          </w:tcPr>
          <w:p>
            <w:r>
              <w:rPr>
                <w:b/>
                <w:sz w:val="16"/>
              </w:rPr>
              <w:t>Working status</w:t>
            </w:r>
          </w:p>
        </w:tc>
        <w:tc>
          <w:tcPr>
            <w:tcW w:type="dxa" w:w="1409"/>
            <w:shd w:val="clear" w:color="auto" w:fill="E9EDF1"/>
          </w:tcPr>
          <w:p>
            <w:r>
              <w:rPr>
                <w:b/>
                <w:sz w:val="16"/>
              </w:rPr>
              <w:t>Proposed review cycle</w:t>
            </w:r>
          </w:p>
        </w:tc>
        <w:tc>
          <w:tcPr>
            <w:tcW w:type="dxa" w:w="1409"/>
            <w:shd w:val="clear" w:color="auto" w:fill="E9EDF1"/>
          </w:tcPr>
          <w:p>
            <w:r>
              <w:rPr>
                <w:b/>
                <w:sz w:val="16"/>
              </w:rPr>
              <w:t>Proposed fictional SharePoint location</w:t>
            </w:r>
          </w:p>
        </w:tc>
      </w:tr>
      <w:tr>
        <w:tc>
          <w:tcPr>
            <w:tcW w:type="dxa" w:w="1409"/>
          </w:tcPr>
          <w:p>
            <w:r>
              <w:rPr>
                <w:sz w:val="16"/>
              </w:rPr>
              <w:t>B1</w:t>
            </w:r>
          </w:p>
        </w:tc>
        <w:tc>
          <w:tcPr>
            <w:tcW w:type="dxa" w:w="1409"/>
          </w:tcPr>
          <w:p>
            <w:r>
              <w:rPr>
                <w:sz w:val="16"/>
              </w:rPr>
              <w:t>Programme scope sheet</w:t>
            </w:r>
          </w:p>
        </w:tc>
        <w:tc>
          <w:tcPr>
            <w:tcW w:type="dxa" w:w="1409"/>
          </w:tcPr>
          <w:p>
            <w:r>
              <w:rPr>
                <w:sz w:val="16"/>
              </w:rPr>
              <w:t>DPO</w:t>
            </w:r>
          </w:p>
        </w:tc>
        <w:tc>
          <w:tcPr>
            <w:tcW w:type="dxa" w:w="1409"/>
          </w:tcPr>
          <w:p>
            <w:r>
              <w:rPr>
                <w:sz w:val="16"/>
              </w:rPr>
              <w:t>MD, as part of final pack</w:t>
            </w:r>
          </w:p>
        </w:tc>
        <w:tc>
          <w:tcPr>
            <w:tcW w:type="dxa" w:w="1409"/>
          </w:tcPr>
          <w:p>
            <w:r>
              <w:rPr>
                <w:sz w:val="16"/>
              </w:rPr>
              <w:t>Awaiting MD approval</w:t>
            </w:r>
          </w:p>
        </w:tc>
        <w:tc>
          <w:tcPr>
            <w:tcW w:type="dxa" w:w="1409"/>
          </w:tcPr>
          <w:p>
            <w:r>
              <w:rPr>
                <w:sz w:val="16"/>
              </w:rPr>
              <w:t>Annually and after a material change</w:t>
            </w:r>
          </w:p>
        </w:tc>
        <w:tc>
          <w:tcPr>
            <w:tcW w:type="dxa" w:w="1409"/>
          </w:tcPr>
          <w:p>
            <w:r>
              <w:rPr>
                <w:sz w:val="16"/>
              </w:rPr>
              <w:t>SharePoint / Data Protection / B1</w:t>
            </w:r>
          </w:p>
        </w:tc>
      </w:tr>
      <w:tr>
        <w:tc>
          <w:tcPr>
            <w:tcW w:type="dxa" w:w="1409"/>
          </w:tcPr>
          <w:p>
            <w:r>
              <w:rPr>
                <w:sz w:val="16"/>
              </w:rPr>
              <w:t>B2</w:t>
            </w:r>
          </w:p>
        </w:tc>
        <w:tc>
          <w:tcPr>
            <w:tcW w:type="dxa" w:w="1409"/>
          </w:tcPr>
          <w:p>
            <w:r>
              <w:rPr>
                <w:sz w:val="16"/>
              </w:rPr>
              <w:t>Gap review and action plan</w:t>
            </w:r>
          </w:p>
        </w:tc>
        <w:tc>
          <w:tcPr>
            <w:tcW w:type="dxa" w:w="1409"/>
          </w:tcPr>
          <w:p>
            <w:r>
              <w:rPr>
                <w:sz w:val="16"/>
              </w:rPr>
              <w:t>DPO</w:t>
            </w:r>
          </w:p>
        </w:tc>
        <w:tc>
          <w:tcPr>
            <w:tcW w:type="dxa" w:w="1409"/>
          </w:tcPr>
          <w:p>
            <w:r>
              <w:rPr>
                <w:sz w:val="16"/>
              </w:rPr>
              <w:t>MD, as part of final pack</w:t>
            </w:r>
          </w:p>
        </w:tc>
        <w:tc>
          <w:tcPr>
            <w:tcW w:type="dxa" w:w="1409"/>
          </w:tcPr>
          <w:p>
            <w:r>
              <w:rPr>
                <w:sz w:val="16"/>
              </w:rPr>
              <w:t>Awaiting MD approval</w:t>
            </w:r>
          </w:p>
        </w:tc>
        <w:tc>
          <w:tcPr>
            <w:tcW w:type="dxa" w:w="1409"/>
          </w:tcPr>
          <w:p>
            <w:r>
              <w:rPr>
                <w:sz w:val="16"/>
              </w:rPr>
              <w:t>Monthly until actions close; then quarterly</w:t>
            </w:r>
          </w:p>
        </w:tc>
        <w:tc>
          <w:tcPr>
            <w:tcW w:type="dxa" w:w="1409"/>
          </w:tcPr>
          <w:p>
            <w:r>
              <w:rPr>
                <w:sz w:val="16"/>
              </w:rPr>
              <w:t>SharePoint / Data Protection / B2</w:t>
            </w:r>
          </w:p>
        </w:tc>
      </w:tr>
      <w:tr>
        <w:tc>
          <w:tcPr>
            <w:tcW w:type="dxa" w:w="1409"/>
          </w:tcPr>
          <w:p>
            <w:r>
              <w:rPr>
                <w:sz w:val="16"/>
              </w:rPr>
              <w:t>B3</w:t>
            </w:r>
          </w:p>
        </w:tc>
        <w:tc>
          <w:tcPr>
            <w:tcW w:type="dxa" w:w="1409"/>
          </w:tcPr>
          <w:p>
            <w:r>
              <w:rPr>
                <w:sz w:val="16"/>
              </w:rPr>
              <w:t>Personal data inventory and data flow map</w:t>
            </w:r>
          </w:p>
        </w:tc>
        <w:tc>
          <w:tcPr>
            <w:tcW w:type="dxa" w:w="1409"/>
          </w:tcPr>
          <w:p>
            <w:r>
              <w:rPr>
                <w:sz w:val="16"/>
              </w:rPr>
              <w:t>DPO, with department heads</w:t>
            </w:r>
          </w:p>
        </w:tc>
        <w:tc>
          <w:tcPr>
            <w:tcW w:type="dxa" w:w="1409"/>
          </w:tcPr>
          <w:p>
            <w:r>
              <w:rPr>
                <w:sz w:val="16"/>
              </w:rPr>
              <w:t>MD, as part of final pack</w:t>
            </w:r>
          </w:p>
        </w:tc>
        <w:tc>
          <w:tcPr>
            <w:tcW w:type="dxa" w:w="1409"/>
          </w:tcPr>
          <w:p>
            <w:r>
              <w:rPr>
                <w:sz w:val="16"/>
              </w:rPr>
              <w:t>Awaiting MD approval</w:t>
            </w:r>
          </w:p>
        </w:tc>
        <w:tc>
          <w:tcPr>
            <w:tcW w:type="dxa" w:w="1409"/>
          </w:tcPr>
          <w:p>
            <w:r>
              <w:rPr>
                <w:sz w:val="16"/>
              </w:rPr>
              <w:t>Quarterly and before a material new use</w:t>
            </w:r>
          </w:p>
        </w:tc>
        <w:tc>
          <w:tcPr>
            <w:tcW w:type="dxa" w:w="1409"/>
          </w:tcPr>
          <w:p>
            <w:r>
              <w:rPr>
                <w:sz w:val="16"/>
              </w:rPr>
              <w:t>SharePoint / Data Protection / B3</w:t>
            </w:r>
          </w:p>
        </w:tc>
      </w:tr>
      <w:tr>
        <w:tc>
          <w:tcPr>
            <w:tcW w:type="dxa" w:w="1409"/>
          </w:tcPr>
          <w:p>
            <w:r>
              <w:rPr>
                <w:sz w:val="16"/>
              </w:rPr>
              <w:t>B4</w:t>
            </w:r>
          </w:p>
        </w:tc>
        <w:tc>
          <w:tcPr>
            <w:tcW w:type="dxa" w:w="1409"/>
          </w:tcPr>
          <w:p>
            <w:r>
              <w:rPr>
                <w:sz w:val="16"/>
              </w:rPr>
              <w:t>Privacy notices</w:t>
            </w:r>
          </w:p>
        </w:tc>
        <w:tc>
          <w:tcPr>
            <w:tcW w:type="dxa" w:w="1409"/>
          </w:tcPr>
          <w:p>
            <w:r>
              <w:rPr>
                <w:sz w:val="16"/>
              </w:rPr>
              <w:t>DPO, with relevant department heads</w:t>
            </w:r>
          </w:p>
        </w:tc>
        <w:tc>
          <w:tcPr>
            <w:tcW w:type="dxa" w:w="1409"/>
          </w:tcPr>
          <w:p>
            <w:r>
              <w:rPr>
                <w:sz w:val="16"/>
              </w:rPr>
              <w:t>MD, as part of final pack</w:t>
            </w:r>
          </w:p>
        </w:tc>
        <w:tc>
          <w:tcPr>
            <w:tcW w:type="dxa" w:w="1409"/>
          </w:tcPr>
          <w:p>
            <w:r>
              <w:rPr>
                <w:sz w:val="16"/>
              </w:rPr>
              <w:t>Draft for lawyer review</w:t>
            </w:r>
          </w:p>
        </w:tc>
        <w:tc>
          <w:tcPr>
            <w:tcW w:type="dxa" w:w="1409"/>
          </w:tcPr>
          <w:p>
            <w:r>
              <w:rPr>
                <w:sz w:val="16"/>
              </w:rPr>
              <w:t>Annually and when collection or purposes change</w:t>
            </w:r>
          </w:p>
        </w:tc>
        <w:tc>
          <w:tcPr>
            <w:tcW w:type="dxa" w:w="1409"/>
          </w:tcPr>
          <w:p>
            <w:r>
              <w:rPr>
                <w:sz w:val="16"/>
              </w:rPr>
              <w:t>SharePoint / Data Protection / B4</w:t>
            </w:r>
          </w:p>
        </w:tc>
      </w:tr>
      <w:tr>
        <w:tc>
          <w:tcPr>
            <w:tcW w:type="dxa" w:w="1409"/>
          </w:tcPr>
          <w:p>
            <w:r>
              <w:rPr>
                <w:sz w:val="16"/>
              </w:rPr>
              <w:t>B5</w:t>
            </w:r>
          </w:p>
        </w:tc>
        <w:tc>
          <w:tcPr>
            <w:tcW w:type="dxa" w:w="1409"/>
          </w:tcPr>
          <w:p>
            <w:r>
              <w:rPr>
                <w:sz w:val="16"/>
              </w:rPr>
              <w:t>Internal data protection policy</w:t>
            </w:r>
          </w:p>
        </w:tc>
        <w:tc>
          <w:tcPr>
            <w:tcW w:type="dxa" w:w="1409"/>
          </w:tcPr>
          <w:p>
            <w:r>
              <w:rPr>
                <w:sz w:val="16"/>
              </w:rPr>
              <w:t>DPO</w:t>
            </w:r>
          </w:p>
        </w:tc>
        <w:tc>
          <w:tcPr>
            <w:tcW w:type="dxa" w:w="1409"/>
          </w:tcPr>
          <w:p>
            <w:r>
              <w:rPr>
                <w:sz w:val="16"/>
              </w:rPr>
              <w:t>MD</w:t>
            </w:r>
          </w:p>
        </w:tc>
        <w:tc>
          <w:tcPr>
            <w:tcW w:type="dxa" w:w="1409"/>
          </w:tcPr>
          <w:p>
            <w:r>
              <w:rPr>
                <w:sz w:val="16"/>
              </w:rPr>
              <w:t>Awaiting MD approval</w:t>
            </w:r>
          </w:p>
        </w:tc>
        <w:tc>
          <w:tcPr>
            <w:tcW w:type="dxa" w:w="1409"/>
          </w:tcPr>
          <w:p>
            <w:r>
              <w:rPr>
                <w:sz w:val="16"/>
              </w:rPr>
              <w:t>Annually and after a material change</w:t>
            </w:r>
          </w:p>
        </w:tc>
        <w:tc>
          <w:tcPr>
            <w:tcW w:type="dxa" w:w="1409"/>
          </w:tcPr>
          <w:p>
            <w:r>
              <w:rPr>
                <w:sz w:val="16"/>
              </w:rPr>
              <w:t>SharePoint / Data Protection / B5</w:t>
            </w:r>
          </w:p>
        </w:tc>
      </w:tr>
      <w:tr>
        <w:tc>
          <w:tcPr>
            <w:tcW w:type="dxa" w:w="1409"/>
          </w:tcPr>
          <w:p>
            <w:r>
              <w:rPr>
                <w:sz w:val="16"/>
              </w:rPr>
              <w:t>B6</w:t>
            </w:r>
          </w:p>
        </w:tc>
        <w:tc>
          <w:tcPr>
            <w:tcW w:type="dxa" w:w="1409"/>
          </w:tcPr>
          <w:p>
            <w:r>
              <w:rPr>
                <w:sz w:val="16"/>
              </w:rPr>
              <w:t>Consent and withdrawal procedures</w:t>
            </w:r>
          </w:p>
        </w:tc>
        <w:tc>
          <w:tcPr>
            <w:tcW w:type="dxa" w:w="1409"/>
          </w:tcPr>
          <w:p>
            <w:r>
              <w:rPr>
                <w:sz w:val="16"/>
              </w:rPr>
              <w:t>DPO, with Head of Marketing</w:t>
            </w:r>
          </w:p>
        </w:tc>
        <w:tc>
          <w:tcPr>
            <w:tcW w:type="dxa" w:w="1409"/>
          </w:tcPr>
          <w:p>
            <w:r>
              <w:rPr>
                <w:sz w:val="16"/>
              </w:rPr>
              <w:t>MD, as part of final pack</w:t>
            </w:r>
          </w:p>
        </w:tc>
        <w:tc>
          <w:tcPr>
            <w:tcW w:type="dxa" w:w="1409"/>
          </w:tcPr>
          <w:p>
            <w:r>
              <w:rPr>
                <w:sz w:val="16"/>
              </w:rPr>
              <w:t>Draft for lawyer review</w:t>
            </w:r>
          </w:p>
        </w:tc>
        <w:tc>
          <w:tcPr>
            <w:tcW w:type="dxa" w:w="1409"/>
          </w:tcPr>
          <w:p>
            <w:r>
              <w:rPr>
                <w:sz w:val="16"/>
              </w:rPr>
              <w:t>Annually and when forms or purposes change</w:t>
            </w:r>
          </w:p>
        </w:tc>
        <w:tc>
          <w:tcPr>
            <w:tcW w:type="dxa" w:w="1409"/>
          </w:tcPr>
          <w:p>
            <w:r>
              <w:rPr>
                <w:sz w:val="16"/>
              </w:rPr>
              <w:t>SharePoint / Data Protection / B6</w:t>
            </w:r>
          </w:p>
        </w:tc>
      </w:tr>
      <w:tr>
        <w:tc>
          <w:tcPr>
            <w:tcW w:type="dxa" w:w="1409"/>
          </w:tcPr>
          <w:p>
            <w:r>
              <w:rPr>
                <w:sz w:val="16"/>
              </w:rPr>
              <w:t>B7</w:t>
            </w:r>
          </w:p>
        </w:tc>
        <w:tc>
          <w:tcPr>
            <w:tcW w:type="dxa" w:w="1409"/>
          </w:tcPr>
          <w:p>
            <w:r>
              <w:rPr>
                <w:sz w:val="16"/>
              </w:rPr>
              <w:t>Access and correction procedure and log</w:t>
            </w:r>
          </w:p>
        </w:tc>
        <w:tc>
          <w:tcPr>
            <w:tcW w:type="dxa" w:w="1409"/>
          </w:tcPr>
          <w:p>
            <w:r>
              <w:rPr>
                <w:sz w:val="16"/>
              </w:rPr>
              <w:t>DPO, with Head of Customer Service and HR Manager</w:t>
            </w:r>
          </w:p>
        </w:tc>
        <w:tc>
          <w:tcPr>
            <w:tcW w:type="dxa" w:w="1409"/>
          </w:tcPr>
          <w:p>
            <w:r>
              <w:rPr>
                <w:sz w:val="16"/>
              </w:rPr>
              <w:t>MD, as part of final pack</w:t>
            </w:r>
          </w:p>
        </w:tc>
        <w:tc>
          <w:tcPr>
            <w:tcW w:type="dxa" w:w="1409"/>
          </w:tcPr>
          <w:p>
            <w:r>
              <w:rPr>
                <w:sz w:val="16"/>
              </w:rPr>
              <w:t>Draft for lawyer review</w:t>
            </w:r>
          </w:p>
        </w:tc>
        <w:tc>
          <w:tcPr>
            <w:tcW w:type="dxa" w:w="1409"/>
          </w:tcPr>
          <w:p>
            <w:r>
              <w:rPr>
                <w:sz w:val="16"/>
              </w:rPr>
              <w:t>Annually and after a material issue</w:t>
            </w:r>
          </w:p>
        </w:tc>
        <w:tc>
          <w:tcPr>
            <w:tcW w:type="dxa" w:w="1409"/>
          </w:tcPr>
          <w:p>
            <w:r>
              <w:rPr>
                <w:sz w:val="16"/>
              </w:rPr>
              <w:t>SharePoint / Data Protection / B7</w:t>
            </w:r>
          </w:p>
        </w:tc>
      </w:tr>
      <w:tr>
        <w:tc>
          <w:tcPr>
            <w:tcW w:type="dxa" w:w="1409"/>
          </w:tcPr>
          <w:p>
            <w:r>
              <w:rPr>
                <w:sz w:val="16"/>
              </w:rPr>
              <w:t>B8</w:t>
            </w:r>
          </w:p>
        </w:tc>
        <w:tc>
          <w:tcPr>
            <w:tcW w:type="dxa" w:w="1409"/>
          </w:tcPr>
          <w:p>
            <w:r>
              <w:rPr>
                <w:sz w:val="16"/>
              </w:rPr>
              <w:t>Retention schedule</w:t>
            </w:r>
          </w:p>
        </w:tc>
        <w:tc>
          <w:tcPr>
            <w:tcW w:type="dxa" w:w="1409"/>
          </w:tcPr>
          <w:p>
            <w:r>
              <w:rPr>
                <w:sz w:val="16"/>
              </w:rPr>
              <w:t>DPO, with record owners</w:t>
            </w:r>
          </w:p>
        </w:tc>
        <w:tc>
          <w:tcPr>
            <w:tcW w:type="dxa" w:w="1409"/>
          </w:tcPr>
          <w:p>
            <w:r>
              <w:rPr>
                <w:sz w:val="16"/>
              </w:rPr>
              <w:t>MD, as part of final pack</w:t>
            </w:r>
          </w:p>
        </w:tc>
        <w:tc>
          <w:tcPr>
            <w:tcW w:type="dxa" w:w="1409"/>
          </w:tcPr>
          <w:p>
            <w:r>
              <w:rPr>
                <w:sz w:val="16"/>
              </w:rPr>
              <w:t>Draft for lawyer review</w:t>
            </w:r>
          </w:p>
        </w:tc>
        <w:tc>
          <w:tcPr>
            <w:tcW w:type="dxa" w:w="1409"/>
          </w:tcPr>
          <w:p>
            <w:r>
              <w:rPr>
                <w:sz w:val="16"/>
              </w:rPr>
              <w:t>Annually and when record needs change</w:t>
            </w:r>
          </w:p>
        </w:tc>
        <w:tc>
          <w:tcPr>
            <w:tcW w:type="dxa" w:w="1409"/>
          </w:tcPr>
          <w:p>
            <w:r>
              <w:rPr>
                <w:sz w:val="16"/>
              </w:rPr>
              <w:t>SharePoint / Data Protection / B8</w:t>
            </w:r>
          </w:p>
        </w:tc>
      </w:tr>
      <w:tr>
        <w:tc>
          <w:tcPr>
            <w:tcW w:type="dxa" w:w="1409"/>
          </w:tcPr>
          <w:p>
            <w:r>
              <w:rPr>
                <w:sz w:val="16"/>
              </w:rPr>
              <w:t>B9</w:t>
            </w:r>
          </w:p>
        </w:tc>
        <w:tc>
          <w:tcPr>
            <w:tcW w:type="dxa" w:w="1409"/>
          </w:tcPr>
          <w:p>
            <w:r>
              <w:rPr>
                <w:sz w:val="16"/>
              </w:rPr>
              <w:t>Vendor and data intermediary checklist</w:t>
            </w:r>
          </w:p>
        </w:tc>
        <w:tc>
          <w:tcPr>
            <w:tcW w:type="dxa" w:w="1409"/>
          </w:tcPr>
          <w:p>
            <w:r>
              <w:rPr>
                <w:sz w:val="16"/>
              </w:rPr>
              <w:t>DPO, with IT Manager</w:t>
            </w:r>
          </w:p>
        </w:tc>
        <w:tc>
          <w:tcPr>
            <w:tcW w:type="dxa" w:w="1409"/>
          </w:tcPr>
          <w:p>
            <w:r>
              <w:rPr>
                <w:sz w:val="16"/>
              </w:rPr>
              <w:t>MD, as part of final pack</w:t>
            </w:r>
          </w:p>
        </w:tc>
        <w:tc>
          <w:tcPr>
            <w:tcW w:type="dxa" w:w="1409"/>
          </w:tcPr>
          <w:p>
            <w:r>
              <w:rPr>
                <w:sz w:val="16"/>
              </w:rPr>
              <w:t>Awaiting MD approval</w:t>
            </w:r>
          </w:p>
        </w:tc>
        <w:tc>
          <w:tcPr>
            <w:tcW w:type="dxa" w:w="1409"/>
          </w:tcPr>
          <w:p>
            <w:r>
              <w:rPr>
                <w:sz w:val="16"/>
              </w:rPr>
              <w:t>Annually and before a material vendor change</w:t>
            </w:r>
          </w:p>
        </w:tc>
        <w:tc>
          <w:tcPr>
            <w:tcW w:type="dxa" w:w="1409"/>
          </w:tcPr>
          <w:p>
            <w:r>
              <w:rPr>
                <w:sz w:val="16"/>
              </w:rPr>
              <w:t>SharePoint / Data Protection / B9</w:t>
            </w:r>
          </w:p>
        </w:tc>
      </w:tr>
      <w:tr>
        <w:tc>
          <w:tcPr>
            <w:tcW w:type="dxa" w:w="1409"/>
          </w:tcPr>
          <w:p>
            <w:r>
              <w:rPr>
                <w:sz w:val="16"/>
              </w:rPr>
              <w:t>B10</w:t>
            </w:r>
          </w:p>
        </w:tc>
        <w:tc>
          <w:tcPr>
            <w:tcW w:type="dxa" w:w="1409"/>
          </w:tcPr>
          <w:p>
            <w:r>
              <w:rPr>
                <w:sz w:val="16"/>
              </w:rPr>
              <w:t>Overseas transfer checklist</w:t>
            </w:r>
          </w:p>
        </w:tc>
        <w:tc>
          <w:tcPr>
            <w:tcW w:type="dxa" w:w="1409"/>
          </w:tcPr>
          <w:p>
            <w:r>
              <w:rPr>
                <w:sz w:val="16"/>
              </w:rPr>
              <w:t>DPO</w:t>
            </w:r>
          </w:p>
        </w:tc>
        <w:tc>
          <w:tcPr>
            <w:tcW w:type="dxa" w:w="1409"/>
          </w:tcPr>
          <w:p>
            <w:r>
              <w:rPr>
                <w:sz w:val="16"/>
              </w:rPr>
              <w:t>MD, as part of final pack</w:t>
            </w:r>
          </w:p>
        </w:tc>
        <w:tc>
          <w:tcPr>
            <w:tcW w:type="dxa" w:w="1409"/>
          </w:tcPr>
          <w:p>
            <w:r>
              <w:rPr>
                <w:sz w:val="16"/>
              </w:rPr>
              <w:t>Draft for lawyer review</w:t>
            </w:r>
          </w:p>
        </w:tc>
        <w:tc>
          <w:tcPr>
            <w:tcW w:type="dxa" w:w="1409"/>
          </w:tcPr>
          <w:p>
            <w:r>
              <w:rPr>
                <w:sz w:val="16"/>
              </w:rPr>
              <w:t>Annually and when the transfer changes</w:t>
            </w:r>
          </w:p>
        </w:tc>
        <w:tc>
          <w:tcPr>
            <w:tcW w:type="dxa" w:w="1409"/>
          </w:tcPr>
          <w:p>
            <w:r>
              <w:rPr>
                <w:sz w:val="16"/>
              </w:rPr>
              <w:t>SharePoint / Data Protection / B10</w:t>
            </w:r>
          </w:p>
        </w:tc>
      </w:tr>
      <w:tr>
        <w:tc>
          <w:tcPr>
            <w:tcW w:type="dxa" w:w="1409"/>
          </w:tcPr>
          <w:p>
            <w:r>
              <w:rPr>
                <w:sz w:val="16"/>
              </w:rPr>
              <w:t>B11</w:t>
            </w:r>
          </w:p>
        </w:tc>
        <w:tc>
          <w:tcPr>
            <w:tcW w:type="dxa" w:w="1409"/>
          </w:tcPr>
          <w:p>
            <w:r>
              <w:rPr>
                <w:sz w:val="16"/>
              </w:rPr>
              <w:t>Data breach management plan</w:t>
            </w:r>
          </w:p>
        </w:tc>
        <w:tc>
          <w:tcPr>
            <w:tcW w:type="dxa" w:w="1409"/>
          </w:tcPr>
          <w:p>
            <w:r>
              <w:rPr>
                <w:sz w:val="16"/>
              </w:rPr>
              <w:t>DPO, with IT Manager</w:t>
            </w:r>
          </w:p>
        </w:tc>
        <w:tc>
          <w:tcPr>
            <w:tcW w:type="dxa" w:w="1409"/>
          </w:tcPr>
          <w:p>
            <w:r>
              <w:rPr>
                <w:sz w:val="16"/>
              </w:rPr>
              <w:t>MD</w:t>
            </w:r>
          </w:p>
        </w:tc>
        <w:tc>
          <w:tcPr>
            <w:tcW w:type="dxa" w:w="1409"/>
          </w:tcPr>
          <w:p>
            <w:r>
              <w:rPr>
                <w:sz w:val="16"/>
              </w:rPr>
              <w:t>Awaiting MD approval</w:t>
            </w:r>
          </w:p>
        </w:tc>
        <w:tc>
          <w:tcPr>
            <w:tcW w:type="dxa" w:w="1409"/>
          </w:tcPr>
          <w:p>
            <w:r>
              <w:rPr>
                <w:sz w:val="16"/>
              </w:rPr>
              <w:t>Annually and after an incident or exercise</w:t>
            </w:r>
          </w:p>
        </w:tc>
        <w:tc>
          <w:tcPr>
            <w:tcW w:type="dxa" w:w="1409"/>
          </w:tcPr>
          <w:p>
            <w:r>
              <w:rPr>
                <w:sz w:val="16"/>
              </w:rPr>
              <w:t>SharePoint / Data Protection / B11</w:t>
            </w:r>
          </w:p>
        </w:tc>
      </w:tr>
      <w:tr>
        <w:tc>
          <w:tcPr>
            <w:tcW w:type="dxa" w:w="1409"/>
          </w:tcPr>
          <w:p>
            <w:r>
              <w:rPr>
                <w:sz w:val="16"/>
              </w:rPr>
              <w:t>B12</w:t>
            </w:r>
          </w:p>
        </w:tc>
        <w:tc>
          <w:tcPr>
            <w:tcW w:type="dxa" w:w="1409"/>
          </w:tcPr>
          <w:p>
            <w:r>
              <w:rPr>
                <w:sz w:val="16"/>
              </w:rPr>
              <w:t>DNC checklist and process</w:t>
            </w:r>
          </w:p>
        </w:tc>
        <w:tc>
          <w:tcPr>
            <w:tcW w:type="dxa" w:w="1409"/>
          </w:tcPr>
          <w:p>
            <w:r>
              <w:rPr>
                <w:sz w:val="16"/>
              </w:rPr>
              <w:t>Head of Marketing, with DPO</w:t>
            </w:r>
          </w:p>
        </w:tc>
        <w:tc>
          <w:tcPr>
            <w:tcW w:type="dxa" w:w="1409"/>
          </w:tcPr>
          <w:p>
            <w:r>
              <w:rPr>
                <w:sz w:val="16"/>
              </w:rPr>
              <w:t>MD, as part of final pack</w:t>
            </w:r>
          </w:p>
        </w:tc>
        <w:tc>
          <w:tcPr>
            <w:tcW w:type="dxa" w:w="1409"/>
          </w:tcPr>
          <w:p>
            <w:r>
              <w:rPr>
                <w:sz w:val="16"/>
              </w:rPr>
              <w:t>Draft for lawyer review</w:t>
            </w:r>
          </w:p>
        </w:tc>
        <w:tc>
          <w:tcPr>
            <w:tcW w:type="dxa" w:w="1409"/>
          </w:tcPr>
          <w:p>
            <w:r>
              <w:rPr>
                <w:sz w:val="16"/>
              </w:rPr>
              <w:t>Before campaigns and at least annually</w:t>
            </w:r>
          </w:p>
        </w:tc>
        <w:tc>
          <w:tcPr>
            <w:tcW w:type="dxa" w:w="1409"/>
          </w:tcPr>
          <w:p>
            <w:r>
              <w:rPr>
                <w:sz w:val="16"/>
              </w:rPr>
              <w:t>SharePoint / Data Protection / B12</w:t>
            </w:r>
          </w:p>
        </w:tc>
      </w:tr>
      <w:tr>
        <w:tc>
          <w:tcPr>
            <w:tcW w:type="dxa" w:w="1409"/>
          </w:tcPr>
          <w:p>
            <w:r>
              <w:rPr>
                <w:sz w:val="16"/>
              </w:rPr>
              <w:t>B13</w:t>
            </w:r>
          </w:p>
        </w:tc>
        <w:tc>
          <w:tcPr>
            <w:tcW w:type="dxa" w:w="1409"/>
          </w:tcPr>
          <w:p>
            <w:r>
              <w:rPr>
                <w:sz w:val="16"/>
              </w:rPr>
              <w:t>DPIA template, with a worked example</w:t>
            </w:r>
          </w:p>
        </w:tc>
        <w:tc>
          <w:tcPr>
            <w:tcW w:type="dxa" w:w="1409"/>
          </w:tcPr>
          <w:p>
            <w:r>
              <w:rPr>
                <w:sz w:val="16"/>
              </w:rPr>
              <w:t>COO, with DPO</w:t>
            </w:r>
          </w:p>
        </w:tc>
        <w:tc>
          <w:tcPr>
            <w:tcW w:type="dxa" w:w="1409"/>
          </w:tcPr>
          <w:p>
            <w:r>
              <w:rPr>
                <w:sz w:val="16"/>
              </w:rPr>
              <w:t>MD, as part of final pack; COO for the proposed operational decision</w:t>
            </w:r>
          </w:p>
        </w:tc>
        <w:tc>
          <w:tcPr>
            <w:tcW w:type="dxa" w:w="1409"/>
          </w:tcPr>
          <w:p>
            <w:r>
              <w:rPr>
                <w:sz w:val="16"/>
              </w:rPr>
              <w:t>Awaiting MD approval</w:t>
            </w:r>
          </w:p>
        </w:tc>
        <w:tc>
          <w:tcPr>
            <w:tcW w:type="dxa" w:w="1409"/>
          </w:tcPr>
          <w:p>
            <w:r>
              <w:rPr>
                <w:sz w:val="16"/>
              </w:rPr>
              <w:t>Before launch and after material changes</w:t>
            </w:r>
          </w:p>
        </w:tc>
        <w:tc>
          <w:tcPr>
            <w:tcW w:type="dxa" w:w="1409"/>
          </w:tcPr>
          <w:p>
            <w:r>
              <w:rPr>
                <w:sz w:val="16"/>
              </w:rPr>
              <w:t>SharePoint / Data Protection / B13</w:t>
            </w:r>
          </w:p>
        </w:tc>
      </w:tr>
      <w:tr>
        <w:tc>
          <w:tcPr>
            <w:tcW w:type="dxa" w:w="1409"/>
          </w:tcPr>
          <w:p>
            <w:r>
              <w:rPr>
                <w:sz w:val="16"/>
              </w:rPr>
              <w:t>B14</w:t>
            </w:r>
          </w:p>
        </w:tc>
        <w:tc>
          <w:tcPr>
            <w:tcW w:type="dxa" w:w="1409"/>
          </w:tcPr>
          <w:p>
            <w:r>
              <w:rPr>
                <w:sz w:val="16"/>
              </w:rPr>
              <w:t>Basic AI-use policy</w:t>
            </w:r>
          </w:p>
        </w:tc>
        <w:tc>
          <w:tcPr>
            <w:tcW w:type="dxa" w:w="1409"/>
          </w:tcPr>
          <w:p>
            <w:r>
              <w:rPr>
                <w:sz w:val="16"/>
              </w:rPr>
              <w:t>COO</w:t>
            </w:r>
          </w:p>
        </w:tc>
        <w:tc>
          <w:tcPr>
            <w:tcW w:type="dxa" w:w="1409"/>
          </w:tcPr>
          <w:p>
            <w:r>
              <w:rPr>
                <w:sz w:val="16"/>
              </w:rPr>
              <w:t>MD</w:t>
            </w:r>
          </w:p>
        </w:tc>
        <w:tc>
          <w:tcPr>
            <w:tcW w:type="dxa" w:w="1409"/>
          </w:tcPr>
          <w:p>
            <w:r>
              <w:rPr>
                <w:sz w:val="16"/>
              </w:rPr>
              <w:t>Awaiting MD approval</w:t>
            </w:r>
          </w:p>
        </w:tc>
        <w:tc>
          <w:tcPr>
            <w:tcW w:type="dxa" w:w="1409"/>
          </w:tcPr>
          <w:p>
            <w:r>
              <w:rPr>
                <w:sz w:val="16"/>
              </w:rPr>
              <w:t>Annually and when approved uses change</w:t>
            </w:r>
          </w:p>
        </w:tc>
        <w:tc>
          <w:tcPr>
            <w:tcW w:type="dxa" w:w="1409"/>
          </w:tcPr>
          <w:p>
            <w:r>
              <w:rPr>
                <w:sz w:val="16"/>
              </w:rPr>
              <w:t>SharePoint / Data Protection / B14</w:t>
            </w:r>
          </w:p>
        </w:tc>
      </w:tr>
      <w:tr>
        <w:tc>
          <w:tcPr>
            <w:tcW w:type="dxa" w:w="1409"/>
          </w:tcPr>
          <w:p>
            <w:r>
              <w:rPr>
                <w:sz w:val="16"/>
              </w:rPr>
              <w:t>B15</w:t>
            </w:r>
          </w:p>
        </w:tc>
        <w:tc>
          <w:tcPr>
            <w:tcW w:type="dxa" w:w="1409"/>
          </w:tcPr>
          <w:p>
            <w:r>
              <w:rPr>
                <w:sz w:val="16"/>
              </w:rPr>
              <w:t>Remote staff briefing: outline and speaker notes</w:t>
            </w:r>
          </w:p>
        </w:tc>
        <w:tc>
          <w:tcPr>
            <w:tcW w:type="dxa" w:w="1409"/>
          </w:tcPr>
          <w:p>
            <w:r>
              <w:rPr>
                <w:sz w:val="16"/>
              </w:rPr>
              <w:t>DPO, with HR Manager</w:t>
            </w:r>
          </w:p>
        </w:tc>
        <w:tc>
          <w:tcPr>
            <w:tcW w:type="dxa" w:w="1409"/>
          </w:tcPr>
          <w:p>
            <w:r>
              <w:rPr>
                <w:sz w:val="16"/>
              </w:rPr>
              <w:t>MD, as part of final pack</w:t>
            </w:r>
          </w:p>
        </w:tc>
        <w:tc>
          <w:tcPr>
            <w:tcW w:type="dxa" w:w="1409"/>
          </w:tcPr>
          <w:p>
            <w:r>
              <w:rPr>
                <w:sz w:val="16"/>
              </w:rPr>
              <w:t>Awaiting MD approval</w:t>
            </w:r>
          </w:p>
        </w:tc>
        <w:tc>
          <w:tcPr>
            <w:tcW w:type="dxa" w:w="1409"/>
          </w:tcPr>
          <w:p>
            <w:r>
              <w:rPr>
                <w:sz w:val="16"/>
              </w:rPr>
              <w:t>Annually and when procedures change</w:t>
            </w:r>
          </w:p>
        </w:tc>
        <w:tc>
          <w:tcPr>
            <w:tcW w:type="dxa" w:w="1409"/>
          </w:tcPr>
          <w:p>
            <w:r>
              <w:rPr>
                <w:sz w:val="16"/>
              </w:rPr>
              <w:t>SharePoint / Data Protection / B15</w:t>
            </w:r>
          </w:p>
        </w:tc>
      </w:tr>
      <w:tr>
        <w:tc>
          <w:tcPr>
            <w:tcW w:type="dxa" w:w="1409"/>
          </w:tcPr>
          <w:p>
            <w:r>
              <w:rPr>
                <w:sz w:val="16"/>
              </w:rPr>
              <w:t>B16</w:t>
            </w:r>
          </w:p>
        </w:tc>
        <w:tc>
          <w:tcPr>
            <w:tcW w:type="dxa" w:w="1409"/>
          </w:tcPr>
          <w:p>
            <w:r>
              <w:rPr>
                <w:sz w:val="16"/>
              </w:rPr>
              <w:t>DPO handover pack</w:t>
            </w:r>
          </w:p>
        </w:tc>
        <w:tc>
          <w:tcPr>
            <w:tcW w:type="dxa" w:w="1409"/>
          </w:tcPr>
          <w:p>
            <w:r>
              <w:rPr>
                <w:sz w:val="16"/>
              </w:rPr>
              <w:t>DPO</w:t>
            </w:r>
          </w:p>
        </w:tc>
        <w:tc>
          <w:tcPr>
            <w:tcW w:type="dxa" w:w="1409"/>
          </w:tcPr>
          <w:p>
            <w:r>
              <w:rPr>
                <w:sz w:val="16"/>
              </w:rPr>
              <w:t>MD, as part of final pack</w:t>
            </w:r>
          </w:p>
        </w:tc>
        <w:tc>
          <w:tcPr>
            <w:tcW w:type="dxa" w:w="1409"/>
          </w:tcPr>
          <w:p>
            <w:r>
              <w:rPr>
                <w:sz w:val="16"/>
              </w:rPr>
              <w:t>Awaiting MD approval</w:t>
            </w:r>
          </w:p>
        </w:tc>
        <w:tc>
          <w:tcPr>
            <w:tcW w:type="dxa" w:w="1409"/>
          </w:tcPr>
          <w:p>
            <w:r>
              <w:rPr>
                <w:sz w:val="16"/>
              </w:rPr>
              <w:t>Quarterly during the first year; then annually</w:t>
            </w:r>
          </w:p>
        </w:tc>
        <w:tc>
          <w:tcPr>
            <w:tcW w:type="dxa" w:w="1409"/>
          </w:tcPr>
          <w:p>
            <w:r>
              <w:rPr>
                <w:sz w:val="16"/>
              </w:rPr>
              <w:t>SharePoint / Data Protection / B16</w:t>
            </w:r>
          </w:p>
        </w:tc>
      </w:tr>
    </w:tbl>
    <w:p/>
    <w:p>
      <w:r>
        <w:rPr/>
        <w:t>Before circulating the pack, the DPO should reconcile this index against the actual B1–B16 files and approval records. The proposed review cycles are management practices, not statutory periods. Keep drafts and approved versions distinguishable, with access limited to people who need them.</w:t>
      </w:r>
    </w:p>
    <w:p>
      <w:pPr>
        <w:pStyle w:val="Heading2"/>
      </w:pPr>
      <w:r>
        <w:t>3. Responsibilities</w:t>
      </w:r>
    </w:p>
    <w:p>
      <w:r>
        <w:rPr/>
        <w:t xml:space="preserve">The table proposes how the programme will operate after handover. </w:t>
      </w:r>
      <w:r>
        <w:rPr>
          <w:b/>
        </w:rPr>
        <w:t>R</w:t>
      </w:r>
      <w:r>
        <w:rPr/>
        <w:t xml:space="preserve"> means responsible for doing the work; </w:t>
      </w:r>
      <w:r>
        <w:rPr>
          <w:b/>
        </w:rPr>
        <w:t>A</w:t>
      </w:r>
      <w:r>
        <w:rPr/>
        <w:t xml:space="preserve"> means accountable for the outcome; </w:t>
      </w:r>
      <w:r>
        <w:rPr>
          <w:b/>
        </w:rPr>
        <w:t>C</w:t>
      </w:r>
      <w:r>
        <w:rPr/>
        <w:t xml:space="preserve"> means consulted; and </w:t>
      </w:r>
      <w:r>
        <w:rPr>
          <w:b/>
        </w:rPr>
        <w:t>I</w:t>
      </w:r>
      <w:r>
        <w:rPr/>
        <w:t xml:space="preserve"> means informed. An activity can have more than one R, but should have one A. “Department heads” includes the relevant functional role, such as the Head of Marketing, HR Manager or Head of Customer Service.</w:t>
      </w:r>
    </w:p>
    <w:tbl>
      <w:tblPr>
        <w:tblStyle w:val="TableGrid"/>
        <w:tblW w:type="auto" w:w="0"/>
        <w:tblLook w:firstColumn="1" w:firstRow="1" w:lastColumn="0" w:lastRow="0" w:noHBand="0" w:noVBand="1" w:val="04A0"/>
      </w:tblPr>
      <w:tblGrid>
        <w:gridCol w:w="1644"/>
        <w:gridCol w:w="1644"/>
        <w:gridCol w:w="1644"/>
        <w:gridCol w:w="1644"/>
        <w:gridCol w:w="1644"/>
        <w:gridCol w:w="1644"/>
      </w:tblGrid>
      <w:tr>
        <w:trPr>
          <w:tblHeader w:val="true"/>
        </w:trPr>
        <w:tc>
          <w:tcPr>
            <w:tcW w:type="dxa" w:w="1644"/>
            <w:shd w:val="clear" w:color="auto" w:fill="E9EDF1"/>
          </w:tcPr>
          <w:p>
            <w:r>
              <w:rPr>
                <w:b/>
                <w:sz w:val="16"/>
              </w:rPr>
              <w:t>Activity</w:t>
            </w:r>
          </w:p>
        </w:tc>
        <w:tc>
          <w:tcPr>
            <w:tcW w:type="dxa" w:w="1644"/>
            <w:shd w:val="clear" w:color="auto" w:fill="E9EDF1"/>
          </w:tcPr>
          <w:p>
            <w:r>
              <w:rPr>
                <w:b/>
                <w:sz w:val="16"/>
              </w:rPr>
              <w:t>MD</w:t>
            </w:r>
          </w:p>
        </w:tc>
        <w:tc>
          <w:tcPr>
            <w:tcW w:type="dxa" w:w="1644"/>
            <w:shd w:val="clear" w:color="auto" w:fill="E9EDF1"/>
          </w:tcPr>
          <w:p>
            <w:r>
              <w:rPr>
                <w:b/>
                <w:sz w:val="16"/>
              </w:rPr>
              <w:t>COO</w:t>
            </w:r>
          </w:p>
        </w:tc>
        <w:tc>
          <w:tcPr>
            <w:tcW w:type="dxa" w:w="1644"/>
            <w:shd w:val="clear" w:color="auto" w:fill="E9EDF1"/>
          </w:tcPr>
          <w:p>
            <w:r>
              <w:rPr>
                <w:b/>
                <w:sz w:val="16"/>
              </w:rPr>
              <w:t>DPO</w:t>
            </w:r>
          </w:p>
        </w:tc>
        <w:tc>
          <w:tcPr>
            <w:tcW w:type="dxa" w:w="1644"/>
            <w:shd w:val="clear" w:color="auto" w:fill="E9EDF1"/>
          </w:tcPr>
          <w:p>
            <w:r>
              <w:rPr>
                <w:b/>
                <w:sz w:val="16"/>
              </w:rPr>
              <w:t>Department heads</w:t>
            </w:r>
          </w:p>
        </w:tc>
        <w:tc>
          <w:tcPr>
            <w:tcW w:type="dxa" w:w="1644"/>
            <w:shd w:val="clear" w:color="auto" w:fill="E9EDF1"/>
          </w:tcPr>
          <w:p>
            <w:r>
              <w:rPr>
                <w:b/>
                <w:sz w:val="16"/>
              </w:rPr>
              <w:t>IT Manager</w:t>
            </w:r>
          </w:p>
        </w:tc>
      </w:tr>
      <w:tr>
        <w:tc>
          <w:tcPr>
            <w:tcW w:type="dxa" w:w="1644"/>
          </w:tcPr>
          <w:p>
            <w:r>
              <w:rPr>
                <w:sz w:val="16"/>
              </w:rPr>
              <w:t>Prepare and maintain notices</w:t>
            </w:r>
          </w:p>
        </w:tc>
        <w:tc>
          <w:tcPr>
            <w:tcW w:type="dxa" w:w="1644"/>
          </w:tcPr>
          <w:p>
            <w:r>
              <w:rPr>
                <w:sz w:val="16"/>
              </w:rPr>
              <w:t>I</w:t>
            </w:r>
          </w:p>
        </w:tc>
        <w:tc>
          <w:tcPr>
            <w:tcW w:type="dxa" w:w="1644"/>
          </w:tcPr>
          <w:p>
            <w:r>
              <w:rPr>
                <w:sz w:val="16"/>
              </w:rPr>
              <w:t>C</w:t>
            </w:r>
          </w:p>
        </w:tc>
        <w:tc>
          <w:tcPr>
            <w:tcW w:type="dxa" w:w="1644"/>
          </w:tcPr>
          <w:p>
            <w:r>
              <w:rPr>
                <w:sz w:val="16"/>
              </w:rPr>
              <w:t>A</w:t>
            </w:r>
          </w:p>
        </w:tc>
        <w:tc>
          <w:tcPr>
            <w:tcW w:type="dxa" w:w="1644"/>
          </w:tcPr>
          <w:p>
            <w:r>
              <w:rPr>
                <w:sz w:val="16"/>
              </w:rPr>
              <w:t>R</w:t>
            </w:r>
          </w:p>
        </w:tc>
        <w:tc>
          <w:tcPr>
            <w:tcW w:type="dxa" w:w="1644"/>
          </w:tcPr>
          <w:p>
            <w:r>
              <w:rPr>
                <w:sz w:val="16"/>
              </w:rPr>
              <w:t>C</w:t>
            </w:r>
          </w:p>
        </w:tc>
      </w:tr>
      <w:tr>
        <w:tc>
          <w:tcPr>
            <w:tcW w:type="dxa" w:w="1644"/>
          </w:tcPr>
          <w:p>
            <w:r>
              <w:rPr>
                <w:sz w:val="16"/>
              </w:rPr>
              <w:t>Maintain consent records and respond to withdrawals</w:t>
            </w:r>
          </w:p>
        </w:tc>
        <w:tc>
          <w:tcPr>
            <w:tcW w:type="dxa" w:w="1644"/>
          </w:tcPr>
          <w:p>
            <w:r>
              <w:rPr>
                <w:sz w:val="16"/>
              </w:rPr>
              <w:t>I</w:t>
            </w:r>
          </w:p>
        </w:tc>
        <w:tc>
          <w:tcPr>
            <w:tcW w:type="dxa" w:w="1644"/>
          </w:tcPr>
          <w:p>
            <w:r>
              <w:rPr>
                <w:sz w:val="16"/>
              </w:rPr>
              <w:t>I</w:t>
            </w:r>
          </w:p>
        </w:tc>
        <w:tc>
          <w:tcPr>
            <w:tcW w:type="dxa" w:w="1644"/>
          </w:tcPr>
          <w:p>
            <w:r>
              <w:rPr>
                <w:sz w:val="16"/>
              </w:rPr>
              <w:t>A</w:t>
            </w:r>
          </w:p>
        </w:tc>
        <w:tc>
          <w:tcPr>
            <w:tcW w:type="dxa" w:w="1644"/>
          </w:tcPr>
          <w:p>
            <w:r>
              <w:rPr>
                <w:sz w:val="16"/>
              </w:rPr>
              <w:t>R</w:t>
            </w:r>
          </w:p>
        </w:tc>
        <w:tc>
          <w:tcPr>
            <w:tcW w:type="dxa" w:w="1644"/>
          </w:tcPr>
          <w:p>
            <w:r>
              <w:rPr>
                <w:sz w:val="16"/>
              </w:rPr>
              <w:t>C</w:t>
            </w:r>
          </w:p>
        </w:tc>
      </w:tr>
      <w:tr>
        <w:tc>
          <w:tcPr>
            <w:tcW w:type="dxa" w:w="1644"/>
          </w:tcPr>
          <w:p>
            <w:r>
              <w:rPr>
                <w:sz w:val="16"/>
              </w:rPr>
              <w:t>Handle access and correction requests</w:t>
            </w:r>
          </w:p>
        </w:tc>
        <w:tc>
          <w:tcPr>
            <w:tcW w:type="dxa" w:w="1644"/>
          </w:tcPr>
          <w:p>
            <w:r>
              <w:rPr>
                <w:sz w:val="16"/>
              </w:rPr>
              <w:t>I</w:t>
            </w:r>
          </w:p>
        </w:tc>
        <w:tc>
          <w:tcPr>
            <w:tcW w:type="dxa" w:w="1644"/>
          </w:tcPr>
          <w:p>
            <w:r>
              <w:rPr>
                <w:sz w:val="16"/>
              </w:rPr>
              <w:t>I</w:t>
            </w:r>
          </w:p>
        </w:tc>
        <w:tc>
          <w:tcPr>
            <w:tcW w:type="dxa" w:w="1644"/>
          </w:tcPr>
          <w:p>
            <w:r>
              <w:rPr>
                <w:sz w:val="16"/>
              </w:rPr>
              <w:t>A</w:t>
            </w:r>
          </w:p>
        </w:tc>
        <w:tc>
          <w:tcPr>
            <w:tcW w:type="dxa" w:w="1644"/>
          </w:tcPr>
          <w:p>
            <w:r>
              <w:rPr>
                <w:sz w:val="16"/>
              </w:rPr>
              <w:t>R</w:t>
            </w:r>
          </w:p>
        </w:tc>
        <w:tc>
          <w:tcPr>
            <w:tcW w:type="dxa" w:w="1644"/>
          </w:tcPr>
          <w:p>
            <w:r>
              <w:rPr>
                <w:sz w:val="16"/>
              </w:rPr>
              <w:t>C</w:t>
            </w:r>
          </w:p>
        </w:tc>
      </w:tr>
      <w:tr>
        <w:tc>
          <w:tcPr>
            <w:tcW w:type="dxa" w:w="1644"/>
          </w:tcPr>
          <w:p>
            <w:r>
              <w:rPr>
                <w:sz w:val="16"/>
              </w:rPr>
              <w:t>Agree and carry out retention clean-ups</w:t>
            </w:r>
          </w:p>
        </w:tc>
        <w:tc>
          <w:tcPr>
            <w:tcW w:type="dxa" w:w="1644"/>
          </w:tcPr>
          <w:p>
            <w:r>
              <w:rPr>
                <w:sz w:val="16"/>
              </w:rPr>
              <w:t>I</w:t>
            </w:r>
          </w:p>
        </w:tc>
        <w:tc>
          <w:tcPr>
            <w:tcW w:type="dxa" w:w="1644"/>
          </w:tcPr>
          <w:p>
            <w:r>
              <w:rPr>
                <w:sz w:val="16"/>
              </w:rPr>
              <w:t>C</w:t>
            </w:r>
          </w:p>
        </w:tc>
        <w:tc>
          <w:tcPr>
            <w:tcW w:type="dxa" w:w="1644"/>
          </w:tcPr>
          <w:p>
            <w:r>
              <w:rPr>
                <w:sz w:val="16"/>
              </w:rPr>
              <w:t>A</w:t>
            </w:r>
          </w:p>
        </w:tc>
        <w:tc>
          <w:tcPr>
            <w:tcW w:type="dxa" w:w="1644"/>
          </w:tcPr>
          <w:p>
            <w:r>
              <w:rPr>
                <w:sz w:val="16"/>
              </w:rPr>
              <w:t>R</w:t>
            </w:r>
          </w:p>
        </w:tc>
        <w:tc>
          <w:tcPr>
            <w:tcW w:type="dxa" w:w="1644"/>
          </w:tcPr>
          <w:p>
            <w:r>
              <w:rPr>
                <w:sz w:val="16"/>
              </w:rPr>
              <w:t>R</w:t>
            </w:r>
          </w:p>
        </w:tc>
      </w:tr>
      <w:tr>
        <w:tc>
          <w:tcPr>
            <w:tcW w:type="dxa" w:w="1644"/>
          </w:tcPr>
          <w:p>
            <w:r>
              <w:rPr>
                <w:sz w:val="16"/>
              </w:rPr>
              <w:t>Perform vendor checks</w:t>
            </w:r>
          </w:p>
        </w:tc>
        <w:tc>
          <w:tcPr>
            <w:tcW w:type="dxa" w:w="1644"/>
          </w:tcPr>
          <w:p>
            <w:r>
              <w:rPr>
                <w:sz w:val="16"/>
              </w:rPr>
              <w:t>I</w:t>
            </w:r>
          </w:p>
        </w:tc>
        <w:tc>
          <w:tcPr>
            <w:tcW w:type="dxa" w:w="1644"/>
          </w:tcPr>
          <w:p>
            <w:r>
              <w:rPr>
                <w:sz w:val="16"/>
              </w:rPr>
              <w:t>C</w:t>
            </w:r>
          </w:p>
        </w:tc>
        <w:tc>
          <w:tcPr>
            <w:tcW w:type="dxa" w:w="1644"/>
          </w:tcPr>
          <w:p>
            <w:r>
              <w:rPr>
                <w:sz w:val="16"/>
              </w:rPr>
              <w:t>A</w:t>
            </w:r>
          </w:p>
        </w:tc>
        <w:tc>
          <w:tcPr>
            <w:tcW w:type="dxa" w:w="1644"/>
          </w:tcPr>
          <w:p>
            <w:r>
              <w:rPr>
                <w:sz w:val="16"/>
              </w:rPr>
              <w:t>R</w:t>
            </w:r>
          </w:p>
        </w:tc>
        <w:tc>
          <w:tcPr>
            <w:tcW w:type="dxa" w:w="1644"/>
          </w:tcPr>
          <w:p>
            <w:r>
              <w:rPr>
                <w:sz w:val="16"/>
              </w:rPr>
              <w:t>R</w:t>
            </w:r>
          </w:p>
        </w:tc>
      </w:tr>
      <w:tr>
        <w:tc>
          <w:tcPr>
            <w:tcW w:type="dxa" w:w="1644"/>
          </w:tcPr>
          <w:p>
            <w:r>
              <w:rPr>
                <w:sz w:val="16"/>
              </w:rPr>
              <w:t>Review overseas transfers and safeguards</w:t>
            </w:r>
          </w:p>
        </w:tc>
        <w:tc>
          <w:tcPr>
            <w:tcW w:type="dxa" w:w="1644"/>
          </w:tcPr>
          <w:p>
            <w:r>
              <w:rPr>
                <w:sz w:val="16"/>
              </w:rPr>
              <w:t>I</w:t>
            </w:r>
          </w:p>
        </w:tc>
        <w:tc>
          <w:tcPr>
            <w:tcW w:type="dxa" w:w="1644"/>
          </w:tcPr>
          <w:p>
            <w:r>
              <w:rPr>
                <w:sz w:val="16"/>
              </w:rPr>
              <w:t>C</w:t>
            </w:r>
          </w:p>
        </w:tc>
        <w:tc>
          <w:tcPr>
            <w:tcW w:type="dxa" w:w="1644"/>
          </w:tcPr>
          <w:p>
            <w:r>
              <w:rPr>
                <w:sz w:val="16"/>
              </w:rPr>
              <w:t>A</w:t>
            </w:r>
          </w:p>
        </w:tc>
        <w:tc>
          <w:tcPr>
            <w:tcW w:type="dxa" w:w="1644"/>
          </w:tcPr>
          <w:p>
            <w:r>
              <w:rPr>
                <w:sz w:val="16"/>
              </w:rPr>
              <w:t>R</w:t>
            </w:r>
          </w:p>
        </w:tc>
        <w:tc>
          <w:tcPr>
            <w:tcW w:type="dxa" w:w="1644"/>
          </w:tcPr>
          <w:p>
            <w:r>
              <w:rPr>
                <w:sz w:val="16"/>
              </w:rPr>
              <w:t>R</w:t>
            </w:r>
          </w:p>
        </w:tc>
      </w:tr>
      <w:tr>
        <w:tc>
          <w:tcPr>
            <w:tcW w:type="dxa" w:w="1644"/>
          </w:tcPr>
          <w:p>
            <w:r>
              <w:rPr>
                <w:sz w:val="16"/>
              </w:rPr>
              <w:t>Respond to a suspected breach</w:t>
            </w:r>
          </w:p>
        </w:tc>
        <w:tc>
          <w:tcPr>
            <w:tcW w:type="dxa" w:w="1644"/>
          </w:tcPr>
          <w:p>
            <w:r>
              <w:rPr>
                <w:sz w:val="16"/>
              </w:rPr>
              <w:t>A</w:t>
            </w:r>
          </w:p>
        </w:tc>
        <w:tc>
          <w:tcPr>
            <w:tcW w:type="dxa" w:w="1644"/>
          </w:tcPr>
          <w:p>
            <w:r>
              <w:rPr>
                <w:sz w:val="16"/>
              </w:rPr>
              <w:t>C</w:t>
            </w:r>
          </w:p>
        </w:tc>
        <w:tc>
          <w:tcPr>
            <w:tcW w:type="dxa" w:w="1644"/>
          </w:tcPr>
          <w:p>
            <w:r>
              <w:rPr>
                <w:sz w:val="16"/>
              </w:rPr>
              <w:t>R</w:t>
            </w:r>
          </w:p>
        </w:tc>
        <w:tc>
          <w:tcPr>
            <w:tcW w:type="dxa" w:w="1644"/>
          </w:tcPr>
          <w:p>
            <w:r>
              <w:rPr>
                <w:sz w:val="16"/>
              </w:rPr>
              <w:t>R</w:t>
            </w:r>
          </w:p>
        </w:tc>
        <w:tc>
          <w:tcPr>
            <w:tcW w:type="dxa" w:w="1644"/>
          </w:tcPr>
          <w:p>
            <w:r>
              <w:rPr>
                <w:sz w:val="16"/>
              </w:rPr>
              <w:t>R</w:t>
            </w:r>
          </w:p>
        </w:tc>
      </w:tr>
      <w:tr>
        <w:tc>
          <w:tcPr>
            <w:tcW w:type="dxa" w:w="1644"/>
          </w:tcPr>
          <w:p>
            <w:r>
              <w:rPr>
                <w:sz w:val="16"/>
              </w:rPr>
              <w:t>Carry out DNC checks before campaigns</w:t>
            </w:r>
          </w:p>
        </w:tc>
        <w:tc>
          <w:tcPr>
            <w:tcW w:type="dxa" w:w="1644"/>
          </w:tcPr>
          <w:p>
            <w:r>
              <w:rPr>
                <w:sz w:val="16"/>
              </w:rPr>
              <w:t>I</w:t>
            </w:r>
          </w:p>
        </w:tc>
        <w:tc>
          <w:tcPr>
            <w:tcW w:type="dxa" w:w="1644"/>
          </w:tcPr>
          <w:p>
            <w:r>
              <w:rPr>
                <w:sz w:val="16"/>
              </w:rPr>
              <w:t>I</w:t>
            </w:r>
          </w:p>
        </w:tc>
        <w:tc>
          <w:tcPr>
            <w:tcW w:type="dxa" w:w="1644"/>
          </w:tcPr>
          <w:p>
            <w:r>
              <w:rPr>
                <w:sz w:val="16"/>
              </w:rPr>
              <w:t>A</w:t>
            </w:r>
          </w:p>
        </w:tc>
        <w:tc>
          <w:tcPr>
            <w:tcW w:type="dxa" w:w="1644"/>
          </w:tcPr>
          <w:p>
            <w:r>
              <w:rPr>
                <w:sz w:val="16"/>
              </w:rPr>
              <w:t>R</w:t>
            </w:r>
          </w:p>
        </w:tc>
        <w:tc>
          <w:tcPr>
            <w:tcW w:type="dxa" w:w="1644"/>
          </w:tcPr>
          <w:p>
            <w:r>
              <w:rPr>
                <w:sz w:val="16"/>
              </w:rPr>
              <w:t>C</w:t>
            </w:r>
          </w:p>
        </w:tc>
      </w:tr>
      <w:tr>
        <w:tc>
          <w:tcPr>
            <w:tcW w:type="dxa" w:w="1644"/>
          </w:tcPr>
          <w:p>
            <w:r>
              <w:rPr>
                <w:sz w:val="16"/>
              </w:rPr>
              <w:t>Arrange and record staff training</w:t>
            </w:r>
          </w:p>
        </w:tc>
        <w:tc>
          <w:tcPr>
            <w:tcW w:type="dxa" w:w="1644"/>
          </w:tcPr>
          <w:p>
            <w:r>
              <w:rPr>
                <w:sz w:val="16"/>
              </w:rPr>
              <w:t>I</w:t>
            </w:r>
          </w:p>
        </w:tc>
        <w:tc>
          <w:tcPr>
            <w:tcW w:type="dxa" w:w="1644"/>
          </w:tcPr>
          <w:p>
            <w:r>
              <w:rPr>
                <w:sz w:val="16"/>
              </w:rPr>
              <w:t>C</w:t>
            </w:r>
          </w:p>
        </w:tc>
        <w:tc>
          <w:tcPr>
            <w:tcW w:type="dxa" w:w="1644"/>
          </w:tcPr>
          <w:p>
            <w:r>
              <w:rPr>
                <w:sz w:val="16"/>
              </w:rPr>
              <w:t>A</w:t>
            </w:r>
          </w:p>
        </w:tc>
        <w:tc>
          <w:tcPr>
            <w:tcW w:type="dxa" w:w="1644"/>
          </w:tcPr>
          <w:p>
            <w:r>
              <w:rPr>
                <w:sz w:val="16"/>
              </w:rPr>
              <w:t>R</w:t>
            </w:r>
          </w:p>
        </w:tc>
        <w:tc>
          <w:tcPr>
            <w:tcW w:type="dxa" w:w="1644"/>
          </w:tcPr>
          <w:p>
            <w:r>
              <w:rPr>
                <w:sz w:val="16"/>
              </w:rPr>
              <w:t>C</w:t>
            </w:r>
          </w:p>
        </w:tc>
      </w:tr>
      <w:tr>
        <w:tc>
          <w:tcPr>
            <w:tcW w:type="dxa" w:w="1644"/>
          </w:tcPr>
          <w:p>
            <w:r>
              <w:rPr>
                <w:sz w:val="16"/>
              </w:rPr>
              <w:t>Report programme status to the MD</w:t>
            </w:r>
          </w:p>
        </w:tc>
        <w:tc>
          <w:tcPr>
            <w:tcW w:type="dxa" w:w="1644"/>
          </w:tcPr>
          <w:p>
            <w:r>
              <w:rPr>
                <w:sz w:val="16"/>
              </w:rPr>
              <w:t>I</w:t>
            </w:r>
          </w:p>
        </w:tc>
        <w:tc>
          <w:tcPr>
            <w:tcW w:type="dxa" w:w="1644"/>
          </w:tcPr>
          <w:p>
            <w:r>
              <w:rPr>
                <w:sz w:val="16"/>
              </w:rPr>
              <w:t>C</w:t>
            </w:r>
          </w:p>
        </w:tc>
        <w:tc>
          <w:tcPr>
            <w:tcW w:type="dxa" w:w="1644"/>
          </w:tcPr>
          <w:p>
            <w:r>
              <w:rPr>
                <w:sz w:val="16"/>
              </w:rPr>
              <w:t>A/R</w:t>
            </w:r>
          </w:p>
        </w:tc>
        <w:tc>
          <w:tcPr>
            <w:tcW w:type="dxa" w:w="1644"/>
          </w:tcPr>
          <w:p>
            <w:r>
              <w:rPr>
                <w:sz w:val="16"/>
              </w:rPr>
              <w:t>C</w:t>
            </w:r>
          </w:p>
        </w:tc>
        <w:tc>
          <w:tcPr>
            <w:tcW w:type="dxa" w:w="1644"/>
          </w:tcPr>
          <w:p>
            <w:r>
              <w:rPr>
                <w:sz w:val="16"/>
              </w:rPr>
              <w:t>C</w:t>
            </w:r>
          </w:p>
        </w:tc>
      </w:tr>
    </w:tbl>
    <w:p/>
    <w:p>
      <w:r>
        <w:rPr/>
        <w:t>For a breach, staff report promptly and the DPO coordinates the assessment; the MD and DPO record the notification decision as described in B11. The table does not give an external reviewer authority to make that decision. The MD’s approval of the policy, breach plan and final pack remains separate from the DPO’s day-to-day accountability.</w:t>
      </w:r>
    </w:p>
    <w:p>
      <w:r>
        <w:rPr/>
        <w:t>For requests and operational tasks, department heads should identify a named internal contact and a cover arrangement. The DPO should resolve any uncertainty about legal duties with a Singapore-qualified lawyer.</w:t>
      </w:r>
    </w:p>
    <w:p>
      <w:pPr>
        <w:pStyle w:val="Heading2"/>
      </w:pPr>
      <w:r>
        <w:t>4. Open actions carried over from B2</w:t>
      </w:r>
    </w:p>
    <w:p>
      <w:r>
        <w:rPr/>
        <w:t>The table below is copied from the B2 tracker on handover day, so the dates and owners match B2 exactly. The dates are proposed targets, not evidence that work has started or closed. After handover, B2 is the master copy; update it, not this table.</w:t>
      </w:r>
    </w:p>
    <w:tbl>
      <w:tblPr>
        <w:tblStyle w:val="TableGrid"/>
        <w:tblW w:type="auto" w:w="0"/>
        <w:tblLook w:firstColumn="1" w:firstRow="1" w:lastColumn="0" w:lastRow="0" w:noHBand="0" w:noVBand="1" w:val="04A0"/>
      </w:tblPr>
      <w:tblGrid>
        <w:gridCol w:w="1644"/>
        <w:gridCol w:w="1644"/>
        <w:gridCol w:w="1644"/>
        <w:gridCol w:w="1644"/>
        <w:gridCol w:w="1644"/>
        <w:gridCol w:w="1644"/>
      </w:tblGrid>
      <w:tr>
        <w:trPr>
          <w:tblHeader w:val="true"/>
        </w:trPr>
        <w:tc>
          <w:tcPr>
            <w:tcW w:type="dxa" w:w="1644"/>
            <w:shd w:val="clear" w:color="auto" w:fill="E9EDF1"/>
          </w:tcPr>
          <w:p>
            <w:r>
              <w:rPr>
                <w:b/>
                <w:sz w:val="16"/>
              </w:rPr>
              <w:t>Gap ID</w:t>
            </w:r>
          </w:p>
        </w:tc>
        <w:tc>
          <w:tcPr>
            <w:tcW w:type="dxa" w:w="1644"/>
            <w:shd w:val="clear" w:color="auto" w:fill="E9EDF1"/>
          </w:tcPr>
          <w:p>
            <w:r>
              <w:rPr>
                <w:b/>
                <w:sz w:val="16"/>
              </w:rPr>
              <w:t>RAG</w:t>
            </w:r>
          </w:p>
        </w:tc>
        <w:tc>
          <w:tcPr>
            <w:tcW w:type="dxa" w:w="1644"/>
            <w:shd w:val="clear" w:color="auto" w:fill="E9EDF1"/>
          </w:tcPr>
          <w:p>
            <w:r>
              <w:rPr>
                <w:b/>
                <w:sz w:val="16"/>
              </w:rPr>
              <w:t>Action</w:t>
            </w:r>
          </w:p>
        </w:tc>
        <w:tc>
          <w:tcPr>
            <w:tcW w:type="dxa" w:w="1644"/>
            <w:shd w:val="clear" w:color="auto" w:fill="E9EDF1"/>
          </w:tcPr>
          <w:p>
            <w:r>
              <w:rPr>
                <w:b/>
                <w:sz w:val="16"/>
              </w:rPr>
              <w:t>Owner</w:t>
            </w:r>
          </w:p>
        </w:tc>
        <w:tc>
          <w:tcPr>
            <w:tcW w:type="dxa" w:w="1644"/>
            <w:shd w:val="clear" w:color="auto" w:fill="E9EDF1"/>
          </w:tcPr>
          <w:p>
            <w:r>
              <w:rPr>
                <w:b/>
                <w:sz w:val="16"/>
              </w:rPr>
              <w:t>Due</w:t>
            </w:r>
          </w:p>
        </w:tc>
        <w:tc>
          <w:tcPr>
            <w:tcW w:type="dxa" w:w="1644"/>
            <w:shd w:val="clear" w:color="auto" w:fill="E9EDF1"/>
          </w:tcPr>
          <w:p>
            <w:r>
              <w:rPr>
                <w:b/>
                <w:sz w:val="16"/>
              </w:rPr>
              <w:t>Evidence to close</w:t>
            </w:r>
          </w:p>
        </w:tc>
      </w:tr>
      <w:tr>
        <w:tc>
          <w:tcPr>
            <w:tcW w:type="dxa" w:w="1644"/>
          </w:tcPr>
          <w:p>
            <w:r>
              <w:rPr>
                <w:sz w:val="16"/>
              </w:rPr>
              <w:t>G-01</w:t>
            </w:r>
          </w:p>
        </w:tc>
        <w:tc>
          <w:tcPr>
            <w:tcW w:type="dxa" w:w="1644"/>
          </w:tcPr>
          <w:p>
            <w:r>
              <w:rPr>
                <w:sz w:val="16"/>
              </w:rPr>
              <w:t>Amber</w:t>
            </w:r>
          </w:p>
        </w:tc>
        <w:tc>
          <w:tcPr>
            <w:tcW w:type="dxa" w:w="1644"/>
          </w:tcPr>
          <w:p>
            <w:r>
              <w:rPr>
                <w:sz w:val="16"/>
              </w:rPr>
              <w:t>Adopt the data protection policy, publish the DPO contact and document the complaints process; update B2.</w:t>
            </w:r>
          </w:p>
        </w:tc>
        <w:tc>
          <w:tcPr>
            <w:tcW w:type="dxa" w:w="1644"/>
          </w:tcPr>
          <w:p>
            <w:r>
              <w:rPr>
                <w:sz w:val="16"/>
              </w:rPr>
              <w:t>Head of Operations, appointed DPO</w:t>
            </w:r>
          </w:p>
        </w:tc>
        <w:tc>
          <w:tcPr>
            <w:tcW w:type="dxa" w:w="1644"/>
          </w:tcPr>
          <w:p>
            <w:r>
              <w:rPr>
                <w:sz w:val="16"/>
              </w:rPr>
              <w:t>30 Nov 2026</w:t>
            </w:r>
          </w:p>
        </w:tc>
        <w:tc>
          <w:tcPr>
            <w:tcW w:type="dxa" w:w="1644"/>
          </w:tcPr>
          <w:p>
            <w:r>
              <w:rPr>
                <w:sz w:val="16"/>
              </w:rPr>
              <w:t>MD-approved policy, website capture showing dpo@quillmarrow.example, and documented complaints process.</w:t>
            </w:r>
          </w:p>
        </w:tc>
      </w:tr>
      <w:tr>
        <w:tc>
          <w:tcPr>
            <w:tcW w:type="dxa" w:w="1644"/>
          </w:tcPr>
          <w:p>
            <w:r>
              <w:rPr>
                <w:sz w:val="16"/>
              </w:rPr>
              <w:t>G-02</w:t>
            </w:r>
          </w:p>
        </w:tc>
        <w:tc>
          <w:tcPr>
            <w:tcW w:type="dxa" w:w="1644"/>
          </w:tcPr>
          <w:p>
            <w:r>
              <w:rPr>
                <w:sz w:val="16"/>
              </w:rPr>
              <w:t>Amber</w:t>
            </w:r>
          </w:p>
        </w:tc>
        <w:tc>
          <w:tcPr>
            <w:tcW w:type="dxa" w:w="1644"/>
          </w:tcPr>
          <w:p>
            <w:r>
              <w:rPr>
                <w:sz w:val="16"/>
              </w:rPr>
              <w:t>Remove the pre-ticked marketing box, establish an affirmative consent record for showroom sign-ups and update B2.</w:t>
            </w:r>
          </w:p>
        </w:tc>
        <w:tc>
          <w:tcPr>
            <w:tcW w:type="dxa" w:w="1644"/>
          </w:tcPr>
          <w:p>
            <w:r>
              <w:rPr>
                <w:sz w:val="16"/>
              </w:rPr>
              <w:t>Head of Marketing</w:t>
            </w:r>
          </w:p>
        </w:tc>
        <w:tc>
          <w:tcPr>
            <w:tcW w:type="dxa" w:w="1644"/>
          </w:tcPr>
          <w:p>
            <w:r>
              <w:rPr>
                <w:sz w:val="16"/>
              </w:rPr>
              <w:t>13 Nov 2026</w:t>
            </w:r>
          </w:p>
        </w:tc>
        <w:tc>
          <w:tcPr>
            <w:tcW w:type="dxa" w:w="1644"/>
          </w:tcPr>
          <w:p>
            <w:r>
              <w:rPr>
                <w:sz w:val="16"/>
              </w:rPr>
              <w:t>Updated B2B form, showroom sign-up process and sample consent records showing the person's choice and its source.</w:t>
            </w:r>
          </w:p>
        </w:tc>
      </w:tr>
      <w:tr>
        <w:tc>
          <w:tcPr>
            <w:tcW w:type="dxa" w:w="1644"/>
          </w:tcPr>
          <w:p>
            <w:r>
              <w:rPr>
                <w:sz w:val="16"/>
              </w:rPr>
              <w:t>G-03</w:t>
            </w:r>
          </w:p>
        </w:tc>
        <w:tc>
          <w:tcPr>
            <w:tcW w:type="dxa" w:w="1644"/>
          </w:tcPr>
          <w:p>
            <w:r>
              <w:rPr>
                <w:sz w:val="16"/>
              </w:rPr>
              <w:t>Amber</w:t>
            </w:r>
          </w:p>
        </w:tc>
        <w:tc>
          <w:tcPr>
            <w:tcW w:type="dxa" w:w="1644"/>
          </w:tcPr>
          <w:p>
            <w:r>
              <w:rPr>
                <w:sz w:val="16"/>
              </w:rPr>
              <w:t>Document permitted CCTV purposes and access, prohibit unrelated use unless reviewed and authorised, and record the change in B2.</w:t>
            </w:r>
          </w:p>
        </w:tc>
        <w:tc>
          <w:tcPr>
            <w:tcW w:type="dxa" w:w="1644"/>
          </w:tcPr>
          <w:p>
            <w:r>
              <w:rPr>
                <w:sz w:val="16"/>
              </w:rPr>
              <w:t>Showroom Supervisor</w:t>
            </w:r>
          </w:p>
        </w:tc>
        <w:tc>
          <w:tcPr>
            <w:tcW w:type="dxa" w:w="1644"/>
          </w:tcPr>
          <w:p>
            <w:r>
              <w:rPr>
                <w:sz w:val="16"/>
              </w:rPr>
              <w:t>15 Dec 2026</w:t>
            </w:r>
          </w:p>
        </w:tc>
        <w:tc>
          <w:tcPr>
            <w:tcW w:type="dxa" w:w="1644"/>
          </w:tcPr>
          <w:p>
            <w:r>
              <w:rPr>
                <w:sz w:val="16"/>
              </w:rPr>
              <w:t>Approved CCTV purpose and access procedure, staff communication record and documented approval route for exceptional use.</w:t>
            </w:r>
          </w:p>
        </w:tc>
      </w:tr>
      <w:tr>
        <w:tc>
          <w:tcPr>
            <w:tcW w:type="dxa" w:w="1644"/>
          </w:tcPr>
          <w:p>
            <w:r>
              <w:rPr>
                <w:sz w:val="16"/>
              </w:rPr>
              <w:t>G-04</w:t>
            </w:r>
          </w:p>
        </w:tc>
        <w:tc>
          <w:tcPr>
            <w:tcW w:type="dxa" w:w="1644"/>
          </w:tcPr>
          <w:p>
            <w:r>
              <w:rPr>
                <w:sz w:val="16"/>
              </w:rPr>
              <w:t>Red</w:t>
            </w:r>
          </w:p>
        </w:tc>
        <w:tc>
          <w:tcPr>
            <w:tcW w:type="dxa" w:w="1644"/>
          </w:tcPr>
          <w:p>
            <w:r>
              <w:rPr>
                <w:sz w:val="16"/>
              </w:rPr>
              <w:t>Replace the website statement and prepare notices for job applicants, showroom sign-ups and CCTV; record the work in B2.</w:t>
            </w:r>
          </w:p>
        </w:tc>
        <w:tc>
          <w:tcPr>
            <w:tcW w:type="dxa" w:w="1644"/>
          </w:tcPr>
          <w:p>
            <w:r>
              <w:rPr>
                <w:sz w:val="16"/>
              </w:rPr>
              <w:t>Head of Operations, appointed DPO</w:t>
            </w:r>
          </w:p>
        </w:tc>
        <w:tc>
          <w:tcPr>
            <w:tcW w:type="dxa" w:w="1644"/>
          </w:tcPr>
          <w:p>
            <w:r>
              <w:rPr>
                <w:sz w:val="16"/>
              </w:rPr>
              <w:t>13 Nov 2026</w:t>
            </w:r>
          </w:p>
        </w:tc>
        <w:tc>
          <w:tcPr>
            <w:tcW w:type="dxa" w:w="1644"/>
          </w:tcPr>
          <w:p>
            <w:r>
              <w:rPr>
                <w:sz w:val="16"/>
              </w:rPr>
              <w:t>Approved notices and dated screenshots or copies showing publication at each specified collection point.</w:t>
            </w:r>
          </w:p>
        </w:tc>
      </w:tr>
      <w:tr>
        <w:tc>
          <w:tcPr>
            <w:tcW w:type="dxa" w:w="1644"/>
          </w:tcPr>
          <w:p>
            <w:r>
              <w:rPr>
                <w:sz w:val="16"/>
              </w:rPr>
              <w:t>G-05</w:t>
            </w:r>
          </w:p>
        </w:tc>
        <w:tc>
          <w:tcPr>
            <w:tcW w:type="dxa" w:w="1644"/>
          </w:tcPr>
          <w:p>
            <w:r>
              <w:rPr>
                <w:sz w:val="16"/>
              </w:rPr>
              <w:t>Amber</w:t>
            </w:r>
          </w:p>
        </w:tc>
        <w:tc>
          <w:tcPr>
            <w:tcW w:type="dxa" w:w="1644"/>
          </w:tcPr>
          <w:p>
            <w:r>
              <w:rPr>
                <w:sz w:val="16"/>
              </w:rPr>
              <w:t>Adopt the access and correction procedure, log the AR-01 to AR-06 scenarios and train receiving teams; update B2.</w:t>
            </w:r>
          </w:p>
        </w:tc>
        <w:tc>
          <w:tcPr>
            <w:tcW w:type="dxa" w:w="1644"/>
          </w:tcPr>
          <w:p>
            <w:r>
              <w:rPr>
                <w:sz w:val="16"/>
              </w:rPr>
              <w:t>Head of Customer Service</w:t>
            </w:r>
          </w:p>
        </w:tc>
        <w:tc>
          <w:tcPr>
            <w:tcW w:type="dxa" w:w="1644"/>
          </w:tcPr>
          <w:p>
            <w:r>
              <w:rPr>
                <w:sz w:val="16"/>
              </w:rPr>
              <w:t>13 Nov 2026</w:t>
            </w:r>
          </w:p>
        </w:tc>
        <w:tc>
          <w:tcPr>
            <w:tcW w:type="dxa" w:w="1644"/>
          </w:tcPr>
          <w:p>
            <w:r>
              <w:rPr>
                <w:sz w:val="16"/>
              </w:rPr>
              <w:t>Approved procedure, request log template, completed scenario walkthroughs and staff briefing record.</w:t>
            </w:r>
          </w:p>
        </w:tc>
      </w:tr>
      <w:tr>
        <w:tc>
          <w:tcPr>
            <w:tcW w:type="dxa" w:w="1644"/>
          </w:tcPr>
          <w:p>
            <w:r>
              <w:rPr>
                <w:sz w:val="16"/>
              </w:rPr>
              <w:t>G-06</w:t>
            </w:r>
          </w:p>
        </w:tc>
        <w:tc>
          <w:tcPr>
            <w:tcW w:type="dxa" w:w="1644"/>
          </w:tcPr>
          <w:p>
            <w:r>
              <w:rPr>
                <w:sz w:val="16"/>
              </w:rPr>
              <w:t>Green</w:t>
            </w:r>
          </w:p>
        </w:tc>
        <w:tc>
          <w:tcPr>
            <w:tcW w:type="dxa" w:w="1644"/>
          </w:tcPr>
          <w:p>
            <w:r>
              <w:rPr>
                <w:sz w:val="16"/>
              </w:rPr>
              <w:t>Retain evidence of the Sales verification cycle and document how corrections are reflected in relevant records; update B2.</w:t>
            </w:r>
          </w:p>
        </w:tc>
        <w:tc>
          <w:tcPr>
            <w:tcW w:type="dxa" w:w="1644"/>
          </w:tcPr>
          <w:p>
            <w:r>
              <w:rPr>
                <w:sz w:val="16"/>
              </w:rPr>
              <w:t>Sales Manager</w:t>
            </w:r>
          </w:p>
        </w:tc>
        <w:tc>
          <w:tcPr>
            <w:tcW w:type="dxa" w:w="1644"/>
          </w:tcPr>
          <w:p>
            <w:r>
              <w:rPr>
                <w:sz w:val="16"/>
              </w:rPr>
              <w:t>29 Jan 2027</w:t>
            </w:r>
          </w:p>
        </w:tc>
        <w:tc>
          <w:tcPr>
            <w:tcW w:type="dxa" w:w="1644"/>
          </w:tcPr>
          <w:p>
            <w:r>
              <w:rPr>
                <w:sz w:val="16"/>
              </w:rPr>
              <w:t>Dated verification record and documented correction procedure or sample completed correction record.</w:t>
            </w:r>
          </w:p>
        </w:tc>
      </w:tr>
      <w:tr>
        <w:tc>
          <w:tcPr>
            <w:tcW w:type="dxa" w:w="1644"/>
          </w:tcPr>
          <w:p>
            <w:r>
              <w:rPr>
                <w:sz w:val="16"/>
              </w:rPr>
              <w:t>G-07</w:t>
            </w:r>
          </w:p>
        </w:tc>
        <w:tc>
          <w:tcPr>
            <w:tcW w:type="dxa" w:w="1644"/>
          </w:tcPr>
          <w:p>
            <w:r>
              <w:rPr>
                <w:sz w:val="16"/>
              </w:rPr>
              <w:t>Amber</w:t>
            </w:r>
          </w:p>
        </w:tc>
        <w:tc>
          <w:tcPr>
            <w:tcW w:type="dxa" w:w="1644"/>
          </w:tcPr>
          <w:p>
            <w:r>
              <w:rPr>
                <w:sz w:val="16"/>
              </w:rPr>
              <w:t>Review external-link settings and privileged access, enable MFA for ShopCloud admin where available, and record remediation in B2 and B11.</w:t>
            </w:r>
          </w:p>
        </w:tc>
        <w:tc>
          <w:tcPr>
            <w:tcW w:type="dxa" w:w="1644"/>
          </w:tcPr>
          <w:p>
            <w:r>
              <w:rPr>
                <w:sz w:val="16"/>
              </w:rPr>
              <w:t>IT Manager</w:t>
            </w:r>
          </w:p>
        </w:tc>
        <w:tc>
          <w:tcPr>
            <w:tcW w:type="dxa" w:w="1644"/>
          </w:tcPr>
          <w:p>
            <w:r>
              <w:rPr>
                <w:sz w:val="16"/>
              </w:rPr>
              <w:t>13 Nov 2026</w:t>
            </w:r>
          </w:p>
        </w:tc>
        <w:tc>
          <w:tcPr>
            <w:tcW w:type="dxa" w:w="1644"/>
          </w:tcPr>
          <w:p>
            <w:r>
              <w:rPr>
                <w:sz w:val="16"/>
              </w:rPr>
              <w:t>Dated access review, ShopCloud admin MFA configuration evidence, SharePoint sharing-control evidence and remediation record linked to B11.</w:t>
            </w:r>
          </w:p>
        </w:tc>
      </w:tr>
      <w:tr>
        <w:tc>
          <w:tcPr>
            <w:tcW w:type="dxa" w:w="1644"/>
          </w:tcPr>
          <w:p>
            <w:r>
              <w:rPr>
                <w:sz w:val="16"/>
              </w:rPr>
              <w:t>G-08</w:t>
            </w:r>
          </w:p>
        </w:tc>
        <w:tc>
          <w:tcPr>
            <w:tcW w:type="dxa" w:w="1644"/>
          </w:tcPr>
          <w:p>
            <w:r>
              <w:rPr>
                <w:sz w:val="16"/>
              </w:rPr>
              <w:t>Red</w:t>
            </w:r>
          </w:p>
        </w:tc>
        <w:tc>
          <w:tcPr>
            <w:tcW w:type="dxa" w:w="1644"/>
          </w:tcPr>
          <w:p>
            <w:r>
              <w:rPr>
                <w:sz w:val="16"/>
              </w:rPr>
              <w:t>Complete and approve B8, assigning a justified retention decision and disposal method for each RS record type, with accounting and tax periods flagged for confirmation.</w:t>
            </w:r>
          </w:p>
        </w:tc>
        <w:tc>
          <w:tcPr>
            <w:tcW w:type="dxa" w:w="1644"/>
          </w:tcPr>
          <w:p>
            <w:r>
              <w:rPr>
                <w:sz w:val="16"/>
              </w:rPr>
              <w:t>Head of Operations, appointed DPO</w:t>
            </w:r>
          </w:p>
        </w:tc>
        <w:tc>
          <w:tcPr>
            <w:tcW w:type="dxa" w:w="1644"/>
          </w:tcPr>
          <w:p>
            <w:r>
              <w:rPr>
                <w:sz w:val="16"/>
              </w:rPr>
              <w:t>15 Dec 2026</w:t>
            </w:r>
          </w:p>
        </w:tc>
        <w:tc>
          <w:tcPr>
            <w:tcW w:type="dxa" w:w="1644"/>
          </w:tcPr>
          <w:p>
            <w:r>
              <w:rPr>
                <w:sz w:val="16"/>
              </w:rPr>
              <w:t>Approved B8 schedule covering RS-01 to RS-20, with owners, disposal methods and documented accountant or lawyer confirmation where relevant.</w:t>
            </w:r>
          </w:p>
        </w:tc>
      </w:tr>
      <w:tr>
        <w:tc>
          <w:tcPr>
            <w:tcW w:type="dxa" w:w="1644"/>
          </w:tcPr>
          <w:p>
            <w:r>
              <w:rPr>
                <w:sz w:val="16"/>
              </w:rPr>
              <w:t>G-09</w:t>
            </w:r>
          </w:p>
        </w:tc>
        <w:tc>
          <w:tcPr>
            <w:tcW w:type="dxa" w:w="1644"/>
          </w:tcPr>
          <w:p>
            <w:r>
              <w:rPr>
                <w:sz w:val="16"/>
              </w:rPr>
              <w:t>Amber</w:t>
            </w:r>
          </w:p>
        </w:tc>
        <w:tc>
          <w:tcPr>
            <w:tcW w:type="dxa" w:w="1644"/>
          </w:tcPr>
          <w:p>
            <w:r>
              <w:rPr>
                <w:sz w:val="16"/>
              </w:rPr>
              <w:t>Confirm Fictional ShopCloud's hosting region and review DV-01 terms and transfer safeguards, documenting the outcome and any agreed measures in B2.</w:t>
            </w:r>
          </w:p>
        </w:tc>
        <w:tc>
          <w:tcPr>
            <w:tcW w:type="dxa" w:w="1644"/>
          </w:tcPr>
          <w:p>
            <w:r>
              <w:rPr>
                <w:sz w:val="16"/>
              </w:rPr>
              <w:t>Head of Operations, appointed DPO</w:t>
            </w:r>
          </w:p>
        </w:tc>
        <w:tc>
          <w:tcPr>
            <w:tcW w:type="dxa" w:w="1644"/>
          </w:tcPr>
          <w:p>
            <w:r>
              <w:rPr>
                <w:sz w:val="16"/>
              </w:rPr>
              <w:t>15 Dec 2026</w:t>
            </w:r>
          </w:p>
        </w:tc>
        <w:tc>
          <w:tcPr>
            <w:tcW w:type="dxa" w:w="1644"/>
          </w:tcPr>
          <w:p>
            <w:r>
              <w:rPr>
                <w:sz w:val="16"/>
              </w:rPr>
              <w:t>Written ShopCloud hosting-region confirmation and documented DV-01 contract review with agreed transfer safeguards or recorded unresolved issues.</w:t>
            </w:r>
          </w:p>
        </w:tc>
      </w:tr>
      <w:tr>
        <w:tc>
          <w:tcPr>
            <w:tcW w:type="dxa" w:w="1644"/>
          </w:tcPr>
          <w:p>
            <w:r>
              <w:rPr>
                <w:sz w:val="16"/>
              </w:rPr>
              <w:t>G-10</w:t>
            </w:r>
          </w:p>
        </w:tc>
        <w:tc>
          <w:tcPr>
            <w:tcW w:type="dxa" w:w="1644"/>
          </w:tcPr>
          <w:p>
            <w:r>
              <w:rPr>
                <w:sz w:val="16"/>
              </w:rPr>
              <w:t>Red</w:t>
            </w:r>
          </w:p>
        </w:tc>
        <w:tc>
          <w:tcPr>
            <w:tcW w:type="dxa" w:w="1644"/>
          </w:tcPr>
          <w:p>
            <w:r>
              <w:rPr>
                <w:sz w:val="16"/>
              </w:rPr>
              <w:t>Adopt B11, including the assessment form, separate decision log, escalation route and roles for intermediary reports; test it using INC-2026-07.</w:t>
            </w:r>
          </w:p>
        </w:tc>
        <w:tc>
          <w:tcPr>
            <w:tcW w:type="dxa" w:w="1644"/>
          </w:tcPr>
          <w:p>
            <w:r>
              <w:rPr>
                <w:sz w:val="16"/>
              </w:rPr>
              <w:t>Head of Operations, appointed DPO</w:t>
            </w:r>
          </w:p>
        </w:tc>
        <w:tc>
          <w:tcPr>
            <w:tcW w:type="dxa" w:w="1644"/>
          </w:tcPr>
          <w:p>
            <w:r>
              <w:rPr>
                <w:sz w:val="16"/>
              </w:rPr>
              <w:t>13 Nov 2026</w:t>
            </w:r>
          </w:p>
        </w:tc>
        <w:tc>
          <w:tcPr>
            <w:tcW w:type="dxa" w:w="1644"/>
          </w:tcPr>
          <w:p>
            <w:r>
              <w:rPr>
                <w:sz w:val="16"/>
              </w:rPr>
              <w:t>MD-approved B11, completed tabletop exercise record using INC-2026-07 and logged corrective actions.</w:t>
            </w:r>
          </w:p>
        </w:tc>
      </w:tr>
      <w:tr>
        <w:tc>
          <w:tcPr>
            <w:tcW w:type="dxa" w:w="1644"/>
          </w:tcPr>
          <w:p>
            <w:r>
              <w:rPr>
                <w:sz w:val="16"/>
              </w:rPr>
              <w:t>G-11</w:t>
            </w:r>
          </w:p>
        </w:tc>
        <w:tc>
          <w:tcPr>
            <w:tcW w:type="dxa" w:w="1644"/>
          </w:tcPr>
          <w:p>
            <w:r>
              <w:rPr>
                <w:sz w:val="16"/>
              </w:rPr>
              <w:t>Amber</w:t>
            </w:r>
          </w:p>
        </w:tc>
        <w:tc>
          <w:tcPr>
            <w:tcW w:type="dxa" w:w="1644"/>
          </w:tcPr>
          <w:p>
            <w:r>
              <w:rPr>
                <w:sz w:val="16"/>
              </w:rPr>
              <w:t>Document the campaign DNC check and suppression process, standardise sender details and record the check in B2 before calls begin.</w:t>
            </w:r>
          </w:p>
        </w:tc>
        <w:tc>
          <w:tcPr>
            <w:tcW w:type="dxa" w:w="1644"/>
          </w:tcPr>
          <w:p>
            <w:r>
              <w:rPr>
                <w:sz w:val="16"/>
              </w:rPr>
              <w:t>Head of Marketing</w:t>
            </w:r>
          </w:p>
        </w:tc>
        <w:tc>
          <w:tcPr>
            <w:tcW w:type="dxa" w:w="1644"/>
          </w:tcPr>
          <w:p>
            <w:r>
              <w:rPr>
                <w:sz w:val="16"/>
              </w:rPr>
              <w:t>13 Nov 2026</w:t>
            </w:r>
          </w:p>
        </w:tc>
        <w:tc>
          <w:tcPr>
            <w:tcW w:type="dxa" w:w="1644"/>
          </w:tcPr>
          <w:p>
            <w:r>
              <w:rPr>
                <w:sz w:val="16"/>
              </w:rPr>
              <w:t>Approved campaign procedure, standard sender script and a sample check record showing the check was made within the validity period set by the PDPC (confirm the current period).</w:t>
            </w:r>
          </w:p>
        </w:tc>
      </w:tr>
    </w:tbl>
    <w:p/>
    <w:p>
      <w:r>
        <w:rPr/>
        <w:t>Do not close a vendor or security action solely because a supplier has promised a change. Record the evidence received, the reviewer, the date and any remaining exception. If a target cannot be met, the owner should propose a revised date and interim handling for the DPO and COO to consider.</w:t>
      </w:r>
    </w:p>
    <w:p>
      <w:pPr>
        <w:pStyle w:val="Heading2"/>
      </w:pPr>
      <w:r>
        <w:t>5. Live items on day one</w:t>
      </w:r>
    </w:p>
    <w:p>
      <w:r>
        <w:rPr/>
        <w:t>These need attention in the first week, before the routine starts.</w:t>
      </w:r>
    </w:p>
    <w:tbl>
      <w:tblPr>
        <w:tblStyle w:val="TableGrid"/>
        <w:tblW w:type="auto" w:w="0"/>
        <w:tblLook w:firstColumn="1" w:firstRow="1" w:lastColumn="0" w:lastRow="0" w:noHBand="0" w:noVBand="1" w:val="04A0"/>
      </w:tblPr>
      <w:tblGrid>
        <w:gridCol w:w="2466"/>
        <w:gridCol w:w="2466"/>
        <w:gridCol w:w="2466"/>
        <w:gridCol w:w="2466"/>
      </w:tblGrid>
      <w:tr>
        <w:trPr>
          <w:tblHeader w:val="true"/>
        </w:trPr>
        <w:tc>
          <w:tcPr>
            <w:tcW w:type="dxa" w:w="2466"/>
            <w:shd w:val="clear" w:color="auto" w:fill="E9EDF1"/>
          </w:tcPr>
          <w:p>
            <w:r>
              <w:rPr>
                <w:b/>
                <w:sz w:val="16"/>
              </w:rPr>
              <w:t>Item</w:t>
            </w:r>
          </w:p>
        </w:tc>
        <w:tc>
          <w:tcPr>
            <w:tcW w:type="dxa" w:w="2466"/>
            <w:shd w:val="clear" w:color="auto" w:fill="E9EDF1"/>
          </w:tcPr>
          <w:p>
            <w:r>
              <w:rPr>
                <w:b/>
                <w:sz w:val="16"/>
              </w:rPr>
              <w:t>Why it is live</w:t>
            </w:r>
          </w:p>
        </w:tc>
        <w:tc>
          <w:tcPr>
            <w:tcW w:type="dxa" w:w="2466"/>
            <w:shd w:val="clear" w:color="auto" w:fill="E9EDF1"/>
          </w:tcPr>
          <w:p>
            <w:r>
              <w:rPr>
                <w:b/>
                <w:sz w:val="16"/>
              </w:rPr>
              <w:t>Owner</w:t>
            </w:r>
          </w:p>
        </w:tc>
        <w:tc>
          <w:tcPr>
            <w:tcW w:type="dxa" w:w="2466"/>
            <w:shd w:val="clear" w:color="auto" w:fill="E9EDF1"/>
          </w:tcPr>
          <w:p>
            <w:r>
              <w:rPr>
                <w:b/>
                <w:sz w:val="16"/>
              </w:rPr>
              <w:t>Next step</w:t>
            </w:r>
          </w:p>
        </w:tc>
      </w:tr>
      <w:tr>
        <w:tc>
          <w:tcPr>
            <w:tcW w:type="dxa" w:w="2466"/>
          </w:tcPr>
          <w:p>
            <w:r>
              <w:rPr>
                <w:sz w:val="16"/>
              </w:rPr>
              <w:t>AR-06 access or correction request via DV-01</w:t>
            </w:r>
          </w:p>
        </w:tc>
        <w:tc>
          <w:tcPr>
            <w:tcW w:type="dxa" w:w="2466"/>
          </w:tcPr>
          <w:p>
            <w:r>
              <w:rPr>
                <w:sz w:val="16"/>
              </w:rPr>
              <w:t>Open in the B7 log; scope and identity not yet confirmed</w:t>
            </w:r>
          </w:p>
        </w:tc>
        <w:tc>
          <w:tcPr>
            <w:tcW w:type="dxa" w:w="2466"/>
          </w:tcPr>
          <w:p>
            <w:r>
              <w:rPr>
                <w:sz w:val="16"/>
              </w:rPr>
              <w:t>Head of Operations, appointed DPO</w:t>
            </w:r>
          </w:p>
        </w:tc>
        <w:tc>
          <w:tcPr>
            <w:tcW w:type="dxa" w:w="2466"/>
          </w:tcPr>
          <w:p>
            <w:r>
              <w:rPr>
                <w:sz w:val="16"/>
              </w:rPr>
              <w:t>Contact the requester directly, confirm scope and identity, and record the date Quillmarrow received it</w:t>
            </w:r>
          </w:p>
        </w:tc>
      </w:tr>
      <w:tr>
        <w:tc>
          <w:tcPr>
            <w:tcW w:type="dxa" w:w="2466"/>
          </w:tcPr>
          <w:p>
            <w:r>
              <w:rPr>
                <w:sz w:val="16"/>
              </w:rPr>
              <w:t>INC-2026-07 follow-up actions</w:t>
            </w:r>
          </w:p>
        </w:tc>
        <w:tc>
          <w:tcPr>
            <w:tcW w:type="dxa" w:w="2466"/>
          </w:tcPr>
          <w:p>
            <w:r>
              <w:rPr>
                <w:sz w:val="16"/>
              </w:rPr>
              <w:t>Assessed and recorded as not notifiable on 16 September; lessons logged but sharing controls not yet changed</w:t>
            </w:r>
          </w:p>
        </w:tc>
        <w:tc>
          <w:tcPr>
            <w:tcW w:type="dxa" w:w="2466"/>
          </w:tcPr>
          <w:p>
            <w:r>
              <w:rPr>
                <w:sz w:val="16"/>
              </w:rPr>
              <w:t>IT Manager</w:t>
            </w:r>
          </w:p>
        </w:tc>
        <w:tc>
          <w:tcPr>
            <w:tcW w:type="dxa" w:w="2466"/>
          </w:tcPr>
          <w:p>
            <w:r>
              <w:rPr>
                <w:sz w:val="16"/>
              </w:rPr>
              <w:t>Restrict "anyone with the link" sharing (G-07) and file the evidence in the B11 incident record</w:t>
            </w:r>
          </w:p>
        </w:tc>
      </w:tr>
      <w:tr>
        <w:tc>
          <w:tcPr>
            <w:tcW w:type="dxa" w:w="2466"/>
          </w:tcPr>
          <w:p>
            <w:r>
              <w:rPr>
                <w:sz w:val="16"/>
              </w:rPr>
              <w:t>Planned telemarketing campaign</w:t>
            </w:r>
          </w:p>
        </w:tc>
        <w:tc>
          <w:tcPr>
            <w:tcW w:type="dxa" w:w="2466"/>
          </w:tcPr>
          <w:p>
            <w:r>
              <w:rPr>
                <w:sz w:val="16"/>
              </w:rPr>
              <w:t>No DNC process yet; two of five list sources lack consent evidence</w:t>
            </w:r>
          </w:p>
        </w:tc>
        <w:tc>
          <w:tcPr>
            <w:tcW w:type="dxa" w:w="2466"/>
          </w:tcPr>
          <w:p>
            <w:r>
              <w:rPr>
                <w:sz w:val="16"/>
              </w:rPr>
              <w:t>Head of Marketing</w:t>
            </w:r>
          </w:p>
        </w:tc>
        <w:tc>
          <w:tcPr>
            <w:tcW w:type="dxa" w:w="2466"/>
          </w:tcPr>
          <w:p>
            <w:r>
              <w:rPr>
                <w:sz w:val="16"/>
              </w:rPr>
              <w:t>Hold the campaign until the B12 go or no-go gate is met</w:t>
            </w:r>
          </w:p>
        </w:tc>
      </w:tr>
      <w:tr>
        <w:tc>
          <w:tcPr>
            <w:tcW w:type="dxa" w:w="2466"/>
          </w:tcPr>
          <w:p>
            <w:r>
              <w:rPr>
                <w:sz w:val="16"/>
              </w:rPr>
              <w:t>Enterprise customer questionnaire</w:t>
            </w:r>
          </w:p>
        </w:tc>
        <w:tc>
          <w:tcPr>
            <w:tcW w:type="dxa" w:w="2466"/>
          </w:tcPr>
          <w:p>
            <w:r>
              <w:rPr>
                <w:sz w:val="16"/>
              </w:rPr>
              <w:t>Asked for the privacy policy, breach plan and retention schedule</w:t>
            </w:r>
          </w:p>
        </w:tc>
        <w:tc>
          <w:tcPr>
            <w:tcW w:type="dxa" w:w="2466"/>
          </w:tcPr>
          <w:p>
            <w:r>
              <w:rPr>
                <w:sz w:val="16"/>
              </w:rPr>
              <w:t>COO</w:t>
            </w:r>
          </w:p>
        </w:tc>
        <w:tc>
          <w:tcPr>
            <w:tcW w:type="dxa" w:w="2466"/>
          </w:tcPr>
          <w:p>
            <w:r>
              <w:rPr>
                <w:sz w:val="16"/>
              </w:rPr>
              <w:t>Answer only with documents the MD has approved (B5, B11, B8), and say which are still drafts</w:t>
            </w:r>
          </w:p>
        </w:tc>
      </w:tr>
    </w:tbl>
    <w:p/>
    <w:p>
      <w:pPr>
        <w:pStyle w:val="Heading2"/>
      </w:pPr>
      <w:r>
        <w:t>6. Maintenance calendar</w:t>
      </w:r>
    </w:p>
    <w:p>
      <w:r>
        <w:rPr/>
        <w:t xml:space="preserve">The calendar is a proposed operating rhythm for </w:t>
      </w:r>
      <w:r>
        <w:rPr>
          <w:b/>
        </w:rPr>
        <w:t>November 2026 to October 2027</w:t>
      </w:r>
      <w:r>
        <w:rPr/>
        <w:t>. In every month, the DPO should review B2 actions, new incidents, requests, complaints and changes to data uses; check owners and due dates; and report material issues to the COO. Record “none” only after checking with the relevant owners.</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Month</w:t>
            </w:r>
          </w:p>
        </w:tc>
        <w:tc>
          <w:tcPr>
            <w:tcW w:type="dxa" w:w="4933"/>
            <w:shd w:val="clear" w:color="auto" w:fill="E9EDF1"/>
          </w:tcPr>
          <w:p>
            <w:r>
              <w:rPr>
                <w:b/>
                <w:sz w:val="16"/>
              </w:rPr>
              <w:t>Additional planned tasks</w:t>
            </w:r>
          </w:p>
        </w:tc>
      </w:tr>
      <w:tr>
        <w:tc>
          <w:tcPr>
            <w:tcW w:type="dxa" w:w="4933"/>
          </w:tcPr>
          <w:p>
            <w:r>
              <w:rPr>
                <w:sz w:val="16"/>
              </w:rPr>
              <w:t>November 2026</w:t>
            </w:r>
          </w:p>
        </w:tc>
        <w:tc>
          <w:tcPr>
            <w:tcW w:type="dxa" w:w="4933"/>
          </w:tcPr>
          <w:p>
            <w:r>
              <w:rPr>
                <w:sz w:val="16"/>
              </w:rPr>
              <w:t>Confirm pack ownership and locations; publish the DPO contact; start B7 intake and the B2 action review; arrange the staff briefing.</w:t>
            </w:r>
          </w:p>
        </w:tc>
      </w:tr>
      <w:tr>
        <w:tc>
          <w:tcPr>
            <w:tcW w:type="dxa" w:w="4933"/>
          </w:tcPr>
          <w:p>
            <w:r>
              <w:rPr>
                <w:sz w:val="16"/>
              </w:rPr>
              <w:t>December 2026</w:t>
            </w:r>
          </w:p>
        </w:tc>
        <w:tc>
          <w:tcPr>
            <w:tcW w:type="dxa" w:w="4933"/>
          </w:tcPr>
          <w:p>
            <w:r>
              <w:rPr>
                <w:sz w:val="16"/>
              </w:rPr>
              <w:t>Seek B11 approval and test the incident reporting route; review notice, marketing and DNC actions; check access-control evidence with the IT Manager.</w:t>
            </w:r>
          </w:p>
        </w:tc>
      </w:tr>
      <w:tr>
        <w:tc>
          <w:tcPr>
            <w:tcW w:type="dxa" w:w="4933"/>
          </w:tcPr>
          <w:p>
            <w:r>
              <w:rPr>
                <w:sz w:val="16"/>
              </w:rPr>
              <w:t>January 2027</w:t>
            </w:r>
          </w:p>
        </w:tc>
        <w:tc>
          <w:tcPr>
            <w:tcW w:type="dxa" w:w="4933"/>
          </w:tcPr>
          <w:p>
            <w:r>
              <w:rPr>
                <w:sz w:val="16"/>
              </w:rPr>
              <w:t>Confirm B8 retention decisions and the CCTV setting; review DV-01 safeguards and DV-02 hosting evidence; report overdue actions to the MD and COO.</w:t>
            </w:r>
          </w:p>
        </w:tc>
      </w:tr>
      <w:tr>
        <w:tc>
          <w:tcPr>
            <w:tcW w:type="dxa" w:w="4933"/>
          </w:tcPr>
          <w:p>
            <w:r>
              <w:rPr>
                <w:sz w:val="16"/>
              </w:rPr>
              <w:t>February 2027</w:t>
            </w:r>
          </w:p>
        </w:tc>
        <w:tc>
          <w:tcPr>
            <w:tcW w:type="dxa" w:w="4933"/>
          </w:tcPr>
          <w:p>
            <w:r>
              <w:rPr>
                <w:sz w:val="16"/>
              </w:rPr>
              <w:t>Review B3 with department heads for new or changed data uses; check whether staff questions or requests reveal process gaps.</w:t>
            </w:r>
          </w:p>
        </w:tc>
      </w:tr>
      <w:tr>
        <w:tc>
          <w:tcPr>
            <w:tcW w:type="dxa" w:w="4933"/>
          </w:tcPr>
          <w:p>
            <w:r>
              <w:rPr>
                <w:sz w:val="16"/>
              </w:rPr>
              <w:t>March 2027</w:t>
            </w:r>
          </w:p>
        </w:tc>
        <w:tc>
          <w:tcPr>
            <w:tcW w:type="dxa" w:w="4933"/>
          </w:tcPr>
          <w:p>
            <w:r>
              <w:rPr>
                <w:sz w:val="16"/>
              </w:rPr>
              <w:t>Sample request handling and consent records; check that access is restricted and actions from the sample are assigned.</w:t>
            </w:r>
          </w:p>
        </w:tc>
      </w:tr>
      <w:tr>
        <w:tc>
          <w:tcPr>
            <w:tcW w:type="dxa" w:w="4933"/>
          </w:tcPr>
          <w:p>
            <w:r>
              <w:rPr>
                <w:sz w:val="16"/>
              </w:rPr>
              <w:t>April 2027</w:t>
            </w:r>
          </w:p>
        </w:tc>
        <w:tc>
          <w:tcPr>
            <w:tcW w:type="dxa" w:w="4933"/>
          </w:tcPr>
          <w:p>
            <w:r>
              <w:rPr>
                <w:sz w:val="16"/>
              </w:rPr>
              <w:t>Review vendor and transfer changes against B9 and B10; check outstanding contract, hosting and administrator-access evidence.</w:t>
            </w:r>
          </w:p>
        </w:tc>
      </w:tr>
      <w:tr>
        <w:tc>
          <w:tcPr>
            <w:tcW w:type="dxa" w:w="4933"/>
          </w:tcPr>
          <w:p>
            <w:r>
              <w:rPr>
                <w:sz w:val="16"/>
              </w:rPr>
              <w:t>May 2027</w:t>
            </w:r>
          </w:p>
        </w:tc>
        <w:tc>
          <w:tcPr>
            <w:tcW w:type="dxa" w:w="4933"/>
          </w:tcPr>
          <w:p>
            <w:r>
              <w:rPr>
                <w:sz w:val="16"/>
              </w:rPr>
              <w:t xml:space="preserve">Review retention clean-up progress, holds and vendor-held records, including </w:t>
            </w:r>
            <w:r>
              <w:rPr>
                <w:b/>
                <w:sz w:val="16"/>
              </w:rPr>
              <w:t>RS-20</w:t>
            </w:r>
            <w:r>
              <w:rPr>
                <w:sz w:val="16"/>
              </w:rPr>
              <w:t>; record any exceptions.</w:t>
            </w:r>
          </w:p>
        </w:tc>
      </w:tr>
      <w:tr>
        <w:tc>
          <w:tcPr>
            <w:tcW w:type="dxa" w:w="4933"/>
          </w:tcPr>
          <w:p>
            <w:r>
              <w:rPr>
                <w:sz w:val="16"/>
              </w:rPr>
              <w:t>June 2027</w:t>
            </w:r>
          </w:p>
        </w:tc>
        <w:tc>
          <w:tcPr>
            <w:tcW w:type="dxa" w:w="4933"/>
          </w:tcPr>
          <w:p>
            <w:r>
              <w:rPr>
                <w:sz w:val="16"/>
              </w:rPr>
              <w:t>Run a short B11 reporting exercise with relevant roles; update the contact list and track lessons.</w:t>
            </w:r>
          </w:p>
        </w:tc>
      </w:tr>
      <w:tr>
        <w:tc>
          <w:tcPr>
            <w:tcW w:type="dxa" w:w="4933"/>
          </w:tcPr>
          <w:p>
            <w:r>
              <w:rPr>
                <w:sz w:val="16"/>
              </w:rPr>
              <w:t>July 2027</w:t>
            </w:r>
          </w:p>
        </w:tc>
        <w:tc>
          <w:tcPr>
            <w:tcW w:type="dxa" w:w="4933"/>
          </w:tcPr>
          <w:p>
            <w:r>
              <w:rPr>
                <w:sz w:val="16"/>
              </w:rPr>
              <w:t>Review notices, forms and marketing practices with the relevant department heads; check the DPO contact remains visible.</w:t>
            </w:r>
          </w:p>
        </w:tc>
      </w:tr>
      <w:tr>
        <w:tc>
          <w:tcPr>
            <w:tcW w:type="dxa" w:w="4933"/>
          </w:tcPr>
          <w:p>
            <w:r>
              <w:rPr>
                <w:sz w:val="16"/>
              </w:rPr>
              <w:t>August 2027</w:t>
            </w:r>
          </w:p>
        </w:tc>
        <w:tc>
          <w:tcPr>
            <w:tcW w:type="dxa" w:w="4933"/>
          </w:tcPr>
          <w:p>
            <w:r>
              <w:rPr>
                <w:sz w:val="16"/>
              </w:rPr>
              <w:t>Review B3 and system-access changes with IT and department heads; check whether any new processing needs an impact assessment.</w:t>
            </w:r>
          </w:p>
        </w:tc>
      </w:tr>
      <w:tr>
        <w:tc>
          <w:tcPr>
            <w:tcW w:type="dxa" w:w="4933"/>
          </w:tcPr>
          <w:p>
            <w:r>
              <w:rPr>
                <w:sz w:val="16"/>
              </w:rPr>
              <w:t>September 2027</w:t>
            </w:r>
          </w:p>
        </w:tc>
        <w:tc>
          <w:tcPr>
            <w:tcW w:type="dxa" w:w="4933"/>
          </w:tcPr>
          <w:p>
            <w:r>
              <w:rPr>
                <w:sz w:val="16"/>
              </w:rPr>
              <w:t>Review training attendance and arrange follow-up for staff who missed the briefing; check B14 against the separate AI governance pack.</w:t>
            </w:r>
          </w:p>
        </w:tc>
      </w:tr>
      <w:tr>
        <w:tc>
          <w:tcPr>
            <w:tcW w:type="dxa" w:w="4933"/>
          </w:tcPr>
          <w:p>
            <w:r>
              <w:rPr>
                <w:sz w:val="16"/>
              </w:rPr>
              <w:t>October 2027</w:t>
            </w:r>
          </w:p>
        </w:tc>
        <w:tc>
          <w:tcPr>
            <w:tcW w:type="dxa" w:w="4933"/>
          </w:tcPr>
          <w:p>
            <w:r>
              <w:rPr>
                <w:sz w:val="16"/>
              </w:rPr>
              <w:t>Carry out the annual pack review; present an action and decision summary to the COO and MD and propose the next calendar.</w:t>
            </w:r>
          </w:p>
        </w:tc>
      </w:tr>
    </w:tbl>
    <w:p/>
    <w:p>
      <w:r>
        <w:rPr/>
        <w:t>Before any marketing campaign, use B12 rather than waiting for a calendar review. Before a material new data use, vendor arrangement or transfer, update the relevant inventory and assessment first.</w:t>
      </w:r>
    </w:p>
    <w:p>
      <w:pPr>
        <w:pStyle w:val="Heading2"/>
      </w:pPr>
      <w:r>
        <w:t>7. First 90 days checklist</w:t>
      </w:r>
    </w:p>
    <w:p>
      <w:r>
        <w:rPr/>
        <w:t>The periods below run from the proposed handover at the start of November 2026. They are working targets; the DPO should adjust dates with the COO and record changes in B2.</w:t>
      </w:r>
    </w:p>
    <w:p>
      <w:pPr>
        <w:pStyle w:val="Heading3"/>
      </w:pPr>
      <w:r>
        <w:t>First 30 days</w:t>
      </w:r>
    </w:p>
    <w:p>
      <w:pPr>
        <w:pStyle w:val="ListNumber"/>
      </w:pPr>
      <w:r>
        <w:rPr>
          <w:b/>
        </w:rPr>
        <w:t>Confirm the handover:</w:t>
      </w:r>
      <w:r>
        <w:t xml:space="preserve"> check the B1–B16 files, their owners, approval status and actual SharePoint locations. Separate drafts from approved documents.</w:t>
      </w:r>
    </w:p>
    <w:p>
      <w:pPr>
        <w:pStyle w:val="ListNumber"/>
      </w:pPr>
      <w:r>
        <w:rPr>
          <w:b/>
        </w:rPr>
        <w:t>Make contact routes clear:</w:t>
      </w:r>
      <w:r>
        <w:t xml:space="preserve"> arrange website publication of </w:t>
      </w:r>
      <w:r>
        <w:rPr>
          <w:b/>
        </w:rPr>
        <w:t>dpo@quillmarrow.example</w:t>
      </w:r>
      <w:r>
        <w:t>, tell staff how to reach the DPO and test the mailbox.</w:t>
      </w:r>
    </w:p>
    <w:p>
      <w:pPr>
        <w:pStyle w:val="ListNumber"/>
      </w:pPr>
      <w:r>
        <w:rPr>
          <w:b/>
        </w:rPr>
        <w:t>Start the action routine:</w:t>
      </w:r>
      <w:r>
        <w:t xml:space="preserve"> reconcile the table above with B2, confirm each owner and due date, and schedule a monthly review.</w:t>
      </w:r>
    </w:p>
    <w:p>
      <w:pPr>
        <w:pStyle w:val="ListNumber"/>
      </w:pPr>
      <w:r>
        <w:rPr>
          <w:b/>
        </w:rPr>
        <w:t>Set up requests:</w:t>
      </w:r>
      <w:r>
        <w:t xml:space="preserve"> agree how Customer Service, HR and the Malaysia partner forward requests; establish the B7 log and identity-check process.  Close out AR-06, which is still open.</w:t>
      </w:r>
    </w:p>
    <w:p>
      <w:pPr>
        <w:pStyle w:val="ListNumber"/>
      </w:pPr>
      <w:r>
        <w:rPr>
          <w:b/>
        </w:rPr>
        <w:t>Brief the sponsor:</w:t>
      </w:r>
      <w:r>
        <w:t xml:space="preserve"> tell the COO which approvals, legal questions and immediate control decisions remain open.</w:t>
      </w:r>
    </w:p>
    <w:p>
      <w:pPr>
        <w:pStyle w:val="Heading3"/>
      </w:pPr>
      <w:r>
        <w:t>By 60 days</w:t>
      </w:r>
    </w:p>
    <w:p>
      <w:pPr>
        <w:pStyle w:val="ListNumber"/>
      </w:pPr>
      <w:r>
        <w:rPr>
          <w:b/>
        </w:rPr>
        <w:t>Put incident arrangements in place:</w:t>
      </w:r>
      <w:r>
        <w:t xml:space="preserve"> seek MD approval of B11, confirm contacts and run a short reporting exercise with the IT Manager and department heads.</w:t>
      </w:r>
    </w:p>
    <w:p>
      <w:pPr>
        <w:pStyle w:val="ListNumber"/>
      </w:pPr>
      <w:r>
        <w:rPr>
          <w:b/>
        </w:rPr>
        <w:t>Review collection and marketing:</w:t>
      </w:r>
      <w:r>
        <w:t xml:space="preserve"> check notice and consent work under G-02 and G-04, and require B12 checks before the planned campaign.</w:t>
      </w:r>
    </w:p>
    <w:p>
      <w:pPr>
        <w:pStyle w:val="ListNumber"/>
      </w:pPr>
      <w:r>
        <w:rPr>
          <w:b/>
        </w:rPr>
        <w:t>Check access and vendors:</w:t>
      </w:r>
      <w:r>
        <w:t xml:space="preserve"> review evidence for SharePoint sharing, DV-02 administrator MFA and DV-03 administrator access; record exceptions.</w:t>
      </w:r>
    </w:p>
    <w:p>
      <w:pPr>
        <w:pStyle w:val="ListNumber"/>
      </w:pPr>
      <w:r>
        <w:rPr>
          <w:b/>
        </w:rPr>
        <w:t>Deliver the briefing:</w:t>
      </w:r>
      <w:r>
        <w:t xml:space="preserve"> use B15 once the instructions and contact routes are confirmed. Ask HR to retain attendance and follow up with absent staff.</w:t>
      </w:r>
    </w:p>
    <w:p>
      <w:pPr>
        <w:pStyle w:val="Heading3"/>
      </w:pPr>
      <w:r>
        <w:t>By 90 days</w:t>
      </w:r>
    </w:p>
    <w:p>
      <w:pPr>
        <w:pStyle w:val="ListNumber"/>
      </w:pPr>
      <w:r>
        <w:rPr>
          <w:b/>
        </w:rPr>
        <w:t>Decide retention actions:</w:t>
      </w:r>
      <w:r>
        <w:t xml:space="preserve"> obtain record-owner input for B8, verify the CCTV setting and agree a controlled clean-up plan that accounts for holds.</w:t>
      </w:r>
    </w:p>
    <w:p>
      <w:pPr>
        <w:pStyle w:val="ListNumber"/>
      </w:pPr>
      <w:r>
        <w:rPr>
          <w:b/>
        </w:rPr>
        <w:t>Review overseas transfers:</w:t>
      </w:r>
      <w:r>
        <w:t xml:space="preserve"> confirm what is sent to DV-01, how often and by which channel; obtain evidence of safeguards and the DV-02 hosting region. These details remain unverified.</w:t>
      </w:r>
    </w:p>
    <w:p>
      <w:pPr>
        <w:pStyle w:val="ListNumber"/>
      </w:pPr>
      <w:r>
        <w:rPr>
          <w:b/>
        </w:rPr>
        <w:t>Report to the MD and COO:</w:t>
      </w:r>
      <w:r>
        <w:t xml:space="preserve"> summarise completed actions, evidence, overdue items, decisions needed and proposed next dates. Keep open items open until evidence has been reviewed.</w:t>
      </w:r>
    </w:p>
    <w:p>
      <w:pPr>
        <w:pStyle w:val="Heading2"/>
      </w:pPr>
      <w:r>
        <w:t>8. Publishing the DPO’s business contact information</w:t>
      </w:r>
    </w:p>
    <w:p>
      <w:r>
        <w:rPr/>
        <w:t xml:space="preserve">The DPO’s intended business contact is </w:t>
      </w:r>
      <w:r>
        <w:rPr>
          <w:b/>
        </w:rPr>
        <w:t>dpo@quillmarrow.example</w:t>
      </w:r>
      <w:r>
        <w:rPr/>
        <w:t xml:space="preserve">. Its website publication is outstanding under </w:t>
      </w:r>
      <w:r>
        <w:rPr>
          <w:b/>
        </w:rPr>
        <w:t>G-01</w:t>
      </w:r>
      <w:r>
        <w:rPr/>
        <w:t>.</w:t>
      </w:r>
    </w:p>
    <w:p>
      <w:r>
        <w:rPr/>
        <w:t>The DPO should ask the IT Manager to confirm that the mailbox receives messages, identify who monitors it and arrange cover for absences. Ask the website owner to publish the contact in an accessible location, including the website privacy notice, and check the relevant notices and collection points for a consistent contact route. The DPO should confirm the appropriate wording and placement with a Singapore-qualified lawyer.</w:t>
      </w:r>
    </w:p>
    <w:p>
      <w:r>
        <w:rPr/>
        <w:t>After publication, keep a dated screenshot or link and test the contact route. Record the result in B2. Review the contact after a website change, mailbox change or change in responsibility; a draft notice or an instruction to publish is not evidence that the contact is live.</w:t>
      </w:r>
    </w:p>
    <w:p>
      <w:pPr>
        <w:pStyle w:val="Heading2"/>
      </w:pPr>
      <w:r>
        <w:t>9. When to call for help</w:t>
      </w:r>
    </w:p>
    <w:p>
      <w:pPr>
        <w:pStyle w:val="ListBullet"/>
      </w:pPr>
      <w:r>
        <w:rPr>
          <w:b/>
        </w:rPr>
        <w:t>Singapore-qualified lawyer:</w:t>
      </w:r>
      <w:r>
        <w:t xml:space="preserve"> seek advice on legal interpretation, notice and consent wording, a difficult access request, proposed retention decisions, overseas transfer safeguards or breach notification questions. For accounting and tax retention needs, confirm the relevant periods with an accountant or lawyer.</w:t>
      </w:r>
    </w:p>
    <w:p>
      <w:pPr>
        <w:pStyle w:val="ListBullet"/>
      </w:pPr>
      <w:r>
        <w:rPr>
          <w:b/>
        </w:rPr>
        <w:t>Forensic specialist:</w:t>
      </w:r>
      <w:r>
        <w:t xml:space="preserve"> involve an appropriately qualified specialist where the facts, access history or containment needs cannot be established with available skills. Coordinate through the IT Manager and DPO, preserve available evidence and follow B11; do not disturb logs unnecessarily.</w:t>
      </w:r>
    </w:p>
    <w:p>
      <w:pPr>
        <w:pStyle w:val="ListBullet"/>
      </w:pPr>
      <w:r>
        <w:rPr>
          <w:b/>
        </w:rPr>
        <w:t>The reviewer:</w:t>
      </w:r>
      <w:r>
        <w:t xml:space="preserve"> if Quillmarrow separately agrees ongoing support, the DPO may ask the reviewer to review the action tracker, prepare for a management discussion or help organise a document update. The reviewer supports Quillmarrow’s appointed DPO and does not replace the DPO, legal adviser or incident decision makers.</w:t>
      </w:r>
    </w:p>
    <w:p>
      <w:r>
        <w:rPr/>
        <w:t>Escalate promptly when an issue is urgent. Do not wait for the next scheduled review to report a suspected incident or an overdue decision with material consequences.</w:t>
      </w:r>
    </w:p>
    <w:p>
      <w:pPr>
        <w:pStyle w:val="Heading2"/>
      </w:pPr>
      <w:r>
        <w:t>10. Sign-off</w:t>
      </w:r>
    </w:p>
    <w:p>
      <w:r>
        <w:rPr/>
        <w:t>Signing confirms acceptance or acknowledgement of the handover as described; it does not by itself approve every proposed control, close an action or establish implementation. Attach or reference any exceptions and outstanding decisions.</w:t>
      </w:r>
    </w:p>
    <w:tbl>
      <w:tblPr>
        <w:tblStyle w:val="TableGrid"/>
        <w:tblW w:type="auto" w:w="0"/>
        <w:tblLook w:firstColumn="1" w:firstRow="1" w:lastColumn="0" w:lastRow="0" w:noHBand="0" w:noVBand="1" w:val="04A0"/>
      </w:tblPr>
      <w:tblGrid>
        <w:gridCol w:w="2466"/>
        <w:gridCol w:w="2466"/>
        <w:gridCol w:w="2466"/>
        <w:gridCol w:w="2466"/>
      </w:tblGrid>
      <w:tr>
        <w:trPr>
          <w:tblHeader w:val="true"/>
        </w:trPr>
        <w:tc>
          <w:tcPr>
            <w:tcW w:type="dxa" w:w="2466"/>
            <w:shd w:val="clear" w:color="auto" w:fill="E9EDF1"/>
          </w:tcPr>
          <w:p>
            <w:r>
              <w:rPr>
                <w:b/>
                <w:sz w:val="16"/>
              </w:rPr>
              <w:t>Role</w:t>
            </w:r>
          </w:p>
        </w:tc>
        <w:tc>
          <w:tcPr>
            <w:tcW w:type="dxa" w:w="2466"/>
            <w:shd w:val="clear" w:color="auto" w:fill="E9EDF1"/>
          </w:tcPr>
          <w:p>
            <w:r>
              <w:rPr>
                <w:b/>
                <w:sz w:val="16"/>
              </w:rPr>
              <w:t>Confirmation</w:t>
            </w:r>
          </w:p>
        </w:tc>
        <w:tc>
          <w:tcPr>
            <w:tcW w:type="dxa" w:w="2466"/>
            <w:shd w:val="clear" w:color="auto" w:fill="E9EDF1"/>
          </w:tcPr>
          <w:p>
            <w:r>
              <w:rPr>
                <w:b/>
                <w:sz w:val="16"/>
              </w:rPr>
              <w:t>Signature</w:t>
            </w:r>
          </w:p>
        </w:tc>
        <w:tc>
          <w:tcPr>
            <w:tcW w:type="dxa" w:w="2466"/>
            <w:shd w:val="clear" w:color="auto" w:fill="E9EDF1"/>
          </w:tcPr>
          <w:p>
            <w:r>
              <w:rPr>
                <w:b/>
                <w:sz w:val="16"/>
              </w:rPr>
              <w:t>Date</w:t>
            </w:r>
          </w:p>
        </w:tc>
      </w:tr>
      <w:tr>
        <w:tc>
          <w:tcPr>
            <w:tcW w:type="dxa" w:w="2466"/>
          </w:tcPr>
          <w:p>
            <w:r>
              <w:rPr>
                <w:sz w:val="16"/>
              </w:rPr>
              <w:t>Head of Operations / DPO</w:t>
            </w:r>
          </w:p>
        </w:tc>
        <w:tc>
          <w:tcPr>
            <w:tcW w:type="dxa" w:w="2466"/>
          </w:tcPr>
          <w:p>
            <w:r>
              <w:rPr>
                <w:sz w:val="16"/>
              </w:rPr>
              <w:t>I accept the day-to-day handover and the open actions recorded for follow-up.</w:t>
            </w:r>
          </w:p>
        </w:tc>
        <w:tc>
          <w:tcPr>
            <w:tcW w:type="dxa" w:w="2466"/>
          </w:tcPr>
          <w:p>
            <w:r>
              <w:rPr>
                <w:sz w:val="16"/>
              </w:rPr>
              <w:t>____________________</w:t>
            </w:r>
          </w:p>
        </w:tc>
        <w:tc>
          <w:tcPr>
            <w:tcW w:type="dxa" w:w="2466"/>
          </w:tcPr>
          <w:p>
            <w:r>
              <w:rPr>
                <w:sz w:val="16"/>
              </w:rPr>
              <w:t>____________________</w:t>
            </w:r>
          </w:p>
        </w:tc>
      </w:tr>
      <w:tr>
        <w:tc>
          <w:tcPr>
            <w:tcW w:type="dxa" w:w="2466"/>
          </w:tcPr>
          <w:p>
            <w:r>
              <w:rPr>
                <w:sz w:val="16"/>
              </w:rPr>
              <w:t>Managing Director</w:t>
            </w:r>
          </w:p>
        </w:tc>
        <w:tc>
          <w:tcPr>
            <w:tcW w:type="dxa" w:w="2466"/>
          </w:tcPr>
          <w:p>
            <w:r>
              <w:rPr>
                <w:sz w:val="16"/>
              </w:rPr>
              <w:t>I acknowledge the handover, the open actions and the decisions requiring management attention.</w:t>
            </w:r>
          </w:p>
        </w:tc>
        <w:tc>
          <w:tcPr>
            <w:tcW w:type="dxa" w:w="2466"/>
          </w:tcPr>
          <w:p>
            <w:r>
              <w:rPr>
                <w:sz w:val="16"/>
              </w:rPr>
              <w:t>____________________</w:t>
            </w:r>
          </w:p>
        </w:tc>
        <w:tc>
          <w:tcPr>
            <w:tcW w:type="dxa" w:w="2466"/>
          </w:tcPr>
          <w:p>
            <w:r>
              <w:rPr>
                <w:sz w:val="16"/>
              </w:rPr>
              <w:t>____________________</w:t>
            </w:r>
          </w:p>
        </w:tc>
      </w:tr>
    </w:tbl>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Acting as your DPO. You appoint your own DPO; I prepare the handover and can support them separately.</w:t>
      </w:r>
    </w:p>
    <w:p>
      <w:pPr>
        <w:pStyle w:val="ListBullet"/>
      </w:pPr>
      <w:r>
        <w:t>Legal advice, legal contract drafting, representation or a guarantee of compliance.</w:t>
      </w:r>
    </w:p>
    <w:p>
      <w:pPr>
        <w:pStyle w:val="ListBullet"/>
      </w:pPr>
      <w:r>
        <w:t>Forensic investigation, penetration testing, security engineering or implementing changes in live systems.</w:t>
      </w:r>
    </w:p>
    <w:p>
      <w:pPr>
        <w:pStyle w:val="ListBullet"/>
      </w:pPr>
      <w:r>
        <w:t>A detailed AI governance review or ISO/IEC 42001 readiness check unless separately scoped.</w:t>
      </w:r>
    </w:p>
    <w:p>
      <w:pPr>
        <w:pStyle w:val="ListBullet"/>
      </w:pPr>
      <w:r>
        <w:t>Ongoing document upkeep after handover, unless agreed through monthly DPO support.</w:t>
      </w:r>
    </w:p>
    <w:p>
      <w:pPr>
        <w:pStyle w:val="ListBullet"/>
      </w:pPr>
      <w:r>
        <w:t>Healthcare-sector work or on-site delivery.</w:t>
      </w:r>
    </w:p>
    <w:p>
      <w:r>
        <w:rPr/>
        <w:t>Questions about this sample: DM @alewyl1 on X, or ask for a free intro call (coffee chat).</w:t>
      </w:r>
    </w:p>
    <w:sectPr w:rsidR="00FC693F" w:rsidRPr="0006063C" w:rsidSect="00034616">
      <w:headerReference w:type="default" r:id="rId9"/>
      <w:footerReference w:type="default" r:id="rId10"/>
      <w:pgSz w:w="11906" w:h="16838"/>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PDPA programme · B16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B16 DPO handover pack</dc:title>
  <dc:subject>Fictional organisation, illustrative only, not a client case study</dc:subject>
  <dc:creator>Alex Lew</dc:creator>
  <cp:keywords>PDPA programme; sample; fictional</cp:keywords>
  <dc:description>Fictional organisation, illustrative only, not a client case study</dc:description>
  <cp:lastModifiedBy>Alex Lew</cp:lastModifiedBy>
  <cp:revision>1</cp:revision>
  <dcterms:created xsi:type="dcterms:W3CDTF">2026-10-30T09:00:00Z</dcterms:created>
  <dcterms:modified xsi:type="dcterms:W3CDTF">2026-10-30T09:00:00Z</dcterms:modified>
  <cp:category>Sample</cp:category>
</cp:coreProperties>
</file>