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B8</w:t>
      </w:r>
    </w:p>
    <w:p>
      <w:pPr>
        <w:pStyle w:val="Heading1"/>
      </w:pPr>
      <w:r>
        <w:t>Retention schedule</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B8 · Retention schedule</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Head of Operations (DPO); MD confirms decisions</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How to read this schedule</w:t>
      </w:r>
    </w:p>
    <w:p>
      <w:r>
        <w:rPr/>
        <w:t>The schedule sets out proposed decisions for Quillmarrow’s records, not universal retention periods. Read each row with the personal data inventory in B3 and the actions in B2. The record owner should confirm where the information is held, including copies held by providers, before applying a decision.</w:t>
      </w:r>
    </w:p>
    <w:p>
      <w:r>
        <w:rPr/>
        <w:t xml:space="preserve">The retention clock starts at the </w:t>
      </w:r>
      <w:r>
        <w:rPr>
          <w:b/>
        </w:rPr>
        <w:t>trigger stated in the row</w:t>
      </w:r>
      <w:r>
        <w:rPr/>
        <w:t>, not necessarily when the information was first collected. For example, a trigger may be an account becoming inactive or an employee leaving. The owner should check that the trigger can be identified from reliable records.</w:t>
      </w:r>
    </w:p>
    <w:p>
      <w:r>
        <w:rPr/>
        <w:t xml:space="preserve">A row marked </w:t>
      </w:r>
      <w:r>
        <w:rPr>
          <w:b/>
        </w:rPr>
        <w:t>Proposed</w:t>
      </w:r>
      <w:r>
        <w:rPr/>
        <w:t xml:space="preserve"> needs Managing Director (MD) confirmation before it is adopted. Where a period or trigger remains open, the owner should seek a decision rather than invent one. Legal retention drivers are flagged for confirmation with Quillmarrow’s accountant or a Singapore-qualified lawyer, particularly for accounting and tax records. Do not treat a proposed period as a statement of law. Every number in this schedule is Quillmarrow’s own business proposal for the MD to accept or change; none of them is a period set by law. Where a law may set a period, the row says so and leaves the number to the accountant or lawyer.</w:t>
      </w:r>
    </w:p>
    <w:p>
      <w:pPr>
        <w:pStyle w:val="Heading2"/>
      </w:pPr>
      <w:r>
        <w:t>2. How the decisions were made</w:t>
      </w:r>
    </w:p>
    <w:p>
      <w:r>
        <w:rPr/>
        <w:t>Each proposed decision starts with the purpose for which the information was collected or used. The owner should ask when that purpose ends, whether a continuing legal or business need remains, and what risk arises from keeping the information longer than necessary.</w:t>
      </w:r>
    </w:p>
    <w:p>
      <w:r>
        <w:rPr/>
        <w:t>The review should consider disputes, outstanding requests, investigations and other documented reasons to preserve particular records. Apply a specific hold where needed and review it; a hold should not become a reason to retain every record indefinitely. Confirm legal questions with a Singapore-qualified lawyer.</w:t>
      </w:r>
    </w:p>
    <w:p>
      <w:r>
        <w:rPr/>
        <w:t>G-08 records that Quillmarrow has no schedule and generally keeps information indefinitely. The reported CCTV overwrite setting of about 30 days is client-reported and still needs verification; it is not evidence that other records are disposed of.</w:t>
      </w:r>
    </w:p>
    <w:p>
      <w:pPr>
        <w:pStyle w:val="Heading2"/>
      </w:pPr>
      <w:r>
        <w:t>3. Disposal and evidence</w:t>
      </w:r>
    </w:p>
    <w:p>
      <w:r>
        <w:rPr/>
        <w:t>After the MD confirms the relevant decision, the record owner should identify eligible records, check for holds and authorise disposal. The IT Manager should coordinate system changes and any work by Fictional Harbour IT, DV-03. The DPO should review exceptions and unresolved questions.</w:t>
      </w:r>
    </w:p>
    <w:p>
      <w:r>
        <w:rPr/>
        <w:t>Use the appropriate method for each location: delete eligible records from live cloud systems and shared files, arrange deletion with the relevant provider, and securely destroy paper records. For the CCTV recorder, confirm its overwrite setting and how saved exports are handled. For DV-01, agree and verify the disposal of Malaysia delivery records under RS-20; do not assume Quillmarrow can delete the partner’s copies directly.</w:t>
      </w:r>
    </w:p>
    <w:p>
      <w:r>
        <w:rPr/>
        <w:t>Keep a disposal record showing the record type, selection criteria, date, owner, method, systems or providers covered, and evidence or outstanding confirmation. Avoid placing the deleted personal data in the disposal log.</w:t>
      </w:r>
    </w:p>
    <w:p>
      <w:r>
        <w:rPr/>
        <w:t>Backups may age out separately from live records. The IT Manager should confirm backup cycles and provider capabilities, document the expected removal route and prevent routine restoration from reintroducing disposed records. Where selective deletion is not possible, record the limitation and controls. Evidence of backup arrangements and provider deletion remains to be obtained.</w:t>
      </w:r>
    </w:p>
    <w:p>
      <w:pPr>
        <w:pStyle w:val="Heading2"/>
      </w:pPr>
      <w:r>
        <w:t>4. Decisions needed from management</w:t>
      </w:r>
    </w:p>
    <w:p>
      <w:r>
        <w:rPr/>
        <w:t xml:space="preserve">G-08 is Red in B2, with a target of </w:t>
      </w:r>
      <w:r>
        <w:rPr>
          <w:b/>
        </w:rPr>
        <w:t>15 December 2026</w:t>
      </w:r>
      <w:r>
        <w:rPr/>
        <w:t xml:space="preserve"> for approved decisions. The DPO brings the rows to the MD in three groups so that the easy decisions are not held up by the hard ones:</w:t>
      </w:r>
    </w:p>
    <w:tbl>
      <w:tblPr>
        <w:tblStyle w:val="TableGrid"/>
        <w:tblW w:type="auto" w:w="0"/>
        <w:tblLook w:firstColumn="1" w:firstRow="1" w:lastColumn="0" w:lastRow="0" w:noHBand="0" w:noVBand="1" w:val="04A0"/>
      </w:tblPr>
      <w:tblGrid>
        <w:gridCol w:w="3699"/>
        <w:gridCol w:w="3699"/>
        <w:gridCol w:w="3699"/>
        <w:gridCol w:w="3699"/>
      </w:tblGrid>
      <w:tr>
        <w:trPr>
          <w:tblHeader w:val="true"/>
        </w:trPr>
        <w:tc>
          <w:tcPr>
            <w:tcW w:type="dxa" w:w="3699"/>
            <w:shd w:val="clear" w:color="auto" w:fill="E9EDF1"/>
          </w:tcPr>
          <w:p>
            <w:r>
              <w:rPr>
                <w:b/>
                <w:sz w:val="14"/>
              </w:rPr>
              <w:t>Group</w:t>
            </w:r>
          </w:p>
        </w:tc>
        <w:tc>
          <w:tcPr>
            <w:tcW w:type="dxa" w:w="3699"/>
            <w:shd w:val="clear" w:color="auto" w:fill="E9EDF1"/>
          </w:tcPr>
          <w:p>
            <w:r>
              <w:rPr>
                <w:b/>
                <w:sz w:val="14"/>
              </w:rPr>
              <w:t>Rows</w:t>
            </w:r>
          </w:p>
        </w:tc>
        <w:tc>
          <w:tcPr>
            <w:tcW w:type="dxa" w:w="3699"/>
            <w:shd w:val="clear" w:color="auto" w:fill="E9EDF1"/>
          </w:tcPr>
          <w:p>
            <w:r>
              <w:rPr>
                <w:b/>
                <w:sz w:val="14"/>
              </w:rPr>
              <w:t>What the MD decides</w:t>
            </w:r>
          </w:p>
        </w:tc>
        <w:tc>
          <w:tcPr>
            <w:tcW w:type="dxa" w:w="3699"/>
            <w:shd w:val="clear" w:color="auto" w:fill="E9EDF1"/>
          </w:tcPr>
          <w:p>
            <w:r>
              <w:rPr>
                <w:b/>
                <w:sz w:val="14"/>
              </w:rPr>
              <w:t>Input needed first</w:t>
            </w:r>
          </w:p>
        </w:tc>
      </w:tr>
      <w:tr>
        <w:tc>
          <w:tcPr>
            <w:tcW w:type="dxa" w:w="3699"/>
          </w:tcPr>
          <w:p>
            <w:r>
              <w:rPr>
                <w:sz w:val="14"/>
              </w:rPr>
              <w:t>Ready to approve</w:t>
            </w:r>
          </w:p>
        </w:tc>
        <w:tc>
          <w:tcPr>
            <w:tcW w:type="dxa" w:w="3699"/>
          </w:tcPr>
          <w:p>
            <w:r>
              <w:rPr>
                <w:sz w:val="14"/>
              </w:rPr>
              <w:t>RS-01, RS-03, RS-04, RS-05, RS-06, RS-10, RS-11, RS-16, RS-18, RS-19</w:t>
            </w:r>
          </w:p>
        </w:tc>
        <w:tc>
          <w:tcPr>
            <w:tcW w:type="dxa" w:w="3699"/>
          </w:tcPr>
          <w:p>
            <w:r>
              <w:rPr>
                <w:sz w:val="14"/>
              </w:rPr>
              <w:t>Accept or change the proposed period and trigger.</w:t>
            </w:r>
          </w:p>
        </w:tc>
        <w:tc>
          <w:tcPr>
            <w:tcW w:type="dxa" w:w="3699"/>
          </w:tcPr>
          <w:p>
            <w:r>
              <w:rPr>
                <w:sz w:val="14"/>
              </w:rPr>
              <w:t>Owner confirms the system can find records by the trigger date.</w:t>
            </w:r>
          </w:p>
        </w:tc>
      </w:tr>
      <w:tr>
        <w:tc>
          <w:tcPr>
            <w:tcW w:type="dxa" w:w="3699"/>
          </w:tcPr>
          <w:p>
            <w:r>
              <w:rPr>
                <w:sz w:val="14"/>
              </w:rPr>
              <w:t>Needs outside confirmation</w:t>
            </w:r>
          </w:p>
        </w:tc>
        <w:tc>
          <w:tcPr>
            <w:tcW w:type="dxa" w:w="3699"/>
          </w:tcPr>
          <w:p>
            <w:r>
              <w:rPr>
                <w:sz w:val="14"/>
              </w:rPr>
              <w:t>RS-02, RS-13 (accountant or lawyer); RS-12, RS-14, RS-17, RS-20 (lawyer)</w:t>
            </w:r>
          </w:p>
        </w:tc>
        <w:tc>
          <w:tcPr>
            <w:tcW w:type="dxa" w:w="3699"/>
          </w:tcPr>
          <w:p>
            <w:r>
              <w:rPr>
                <w:sz w:val="14"/>
              </w:rPr>
              <w:t>Approve once the confirmation is filed.</w:t>
            </w:r>
          </w:p>
        </w:tc>
        <w:tc>
          <w:tcPr>
            <w:tcW w:type="dxa" w:w="3699"/>
          </w:tcPr>
          <w:p>
            <w:r>
              <w:rPr>
                <w:sz w:val="14"/>
              </w:rPr>
              <w:t>Finance Director or DPO obtains written confirmation.</w:t>
            </w:r>
          </w:p>
        </w:tc>
      </w:tr>
      <w:tr>
        <w:tc>
          <w:tcPr>
            <w:tcW w:type="dxa" w:w="3699"/>
          </w:tcPr>
          <w:p>
            <w:r>
              <w:rPr>
                <w:sz w:val="14"/>
              </w:rPr>
              <w:t>Needs a factual check</w:t>
            </w:r>
          </w:p>
        </w:tc>
        <w:tc>
          <w:tcPr>
            <w:tcW w:type="dxa" w:w="3699"/>
          </w:tcPr>
          <w:p>
            <w:r>
              <w:rPr>
                <w:sz w:val="14"/>
              </w:rPr>
              <w:t>RS-07, RS-08, RS-09, RS-15</w:t>
            </w:r>
          </w:p>
        </w:tc>
        <w:tc>
          <w:tcPr>
            <w:tcW w:type="dxa" w:w="3699"/>
          </w:tcPr>
          <w:p>
            <w:r>
              <w:rPr>
                <w:sz w:val="14"/>
              </w:rPr>
              <w:t>Approve after the check.</w:t>
            </w:r>
          </w:p>
        </w:tc>
        <w:tc>
          <w:tcPr>
            <w:tcW w:type="dxa" w:w="3699"/>
          </w:tcPr>
          <w:p>
            <w:r>
              <w:rPr>
                <w:sz w:val="14"/>
              </w:rPr>
              <w:t>Marketing confirms consent and DNC records (B6, B12); IT verifies the CCTV overwrite; HR completes the NRIC/FIN necessity review.</w:t>
            </w:r>
          </w:p>
        </w:tc>
      </w:tr>
    </w:tbl>
    <w:p/>
    <w:p>
      <w:r>
        <w:rPr>
          <w:b/>
        </w:rPr>
        <w:t>Evidence that G-08 can close:</w:t>
      </w:r>
      <w:r>
        <w:rPr/>
        <w:t xml:space="preserve"> the MD-approved schedule (all 20 rows marked Approved or Open with a reason), named owners for each row, the first disposal records, and the verified CCTV setting. Until then, G-08 stays open in B2 and no bulk deletion starts (see the B2 interim measures).</w:t>
      </w:r>
    </w:p>
    <w:p>
      <w:pPr>
        <w:pStyle w:val="Heading2"/>
      </w:pPr>
      <w:r>
        <w:t>5. First clean-up after approval</w:t>
      </w:r>
    </w:p>
    <w:p>
      <w:r>
        <w:rPr/>
        <w:t>These follow the MD's decisions. Each one needs a hold check before anything is deleted.</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First clean-up</w:t>
            </w:r>
          </w:p>
        </w:tc>
        <w:tc>
          <w:tcPr>
            <w:tcW w:type="dxa" w:w="4933"/>
            <w:shd w:val="clear" w:color="auto" w:fill="E9EDF1"/>
          </w:tcPr>
          <w:p>
            <w:r>
              <w:rPr>
                <w:b/>
                <w:sz w:val="14"/>
              </w:rPr>
              <w:t>Owner</w:t>
            </w:r>
          </w:p>
        </w:tc>
        <w:tc>
          <w:tcPr>
            <w:tcW w:type="dxa" w:w="4933"/>
            <w:shd w:val="clear" w:color="auto" w:fill="E9EDF1"/>
          </w:tcPr>
          <w:p>
            <w:r>
              <w:rPr>
                <w:b/>
                <w:sz w:val="14"/>
              </w:rPr>
              <w:t>Target date</w:t>
            </w:r>
          </w:p>
        </w:tc>
      </w:tr>
      <w:tr>
        <w:tc>
          <w:tcPr>
            <w:tcW w:type="dxa" w:w="4933"/>
          </w:tcPr>
          <w:p>
            <w:r>
              <w:rPr>
                <w:sz w:val="14"/>
              </w:rPr>
              <w:t>Verify the CCTV overwrite setting and identify saved footage due for review under RS-09, PD-13.</w:t>
            </w:r>
          </w:p>
        </w:tc>
        <w:tc>
          <w:tcPr>
            <w:tcW w:type="dxa" w:w="4933"/>
          </w:tcPr>
          <w:p>
            <w:r>
              <w:rPr>
                <w:sz w:val="14"/>
              </w:rPr>
              <w:t>Showroom Supervisor, with IT Manager</w:t>
            </w:r>
          </w:p>
        </w:tc>
        <w:tc>
          <w:tcPr>
            <w:tcW w:type="dxa" w:w="4933"/>
          </w:tcPr>
          <w:p>
            <w:r>
              <w:rPr>
                <w:sz w:val="14"/>
              </w:rPr>
              <w:t>30 November 2026 (a check, not a deletion)</w:t>
            </w:r>
          </w:p>
        </w:tc>
      </w:tr>
      <w:tr>
        <w:tc>
          <w:tcPr>
            <w:tcW w:type="dxa" w:w="4933"/>
          </w:tcPr>
          <w:p>
            <w:r>
              <w:rPr>
                <w:sz w:val="14"/>
              </w:rPr>
              <w:t>Identify unsuccessful applications beyond the approved RS-11 period; dispose of eligible CVs in PD-15.</w:t>
            </w:r>
          </w:p>
        </w:tc>
        <w:tc>
          <w:tcPr>
            <w:tcW w:type="dxa" w:w="4933"/>
          </w:tcPr>
          <w:p>
            <w:r>
              <w:rPr>
                <w:sz w:val="14"/>
              </w:rPr>
              <w:t>HR Manager</w:t>
            </w:r>
          </w:p>
        </w:tc>
        <w:tc>
          <w:tcPr>
            <w:tcW w:type="dxa" w:w="4933"/>
          </w:tcPr>
          <w:p>
            <w:r>
              <w:rPr>
                <w:sz w:val="14"/>
              </w:rPr>
              <w:t>15 January 2027</w:t>
            </w:r>
          </w:p>
        </w:tc>
      </w:tr>
      <w:tr>
        <w:tc>
          <w:tcPr>
            <w:tcW w:type="dxa" w:w="4933"/>
          </w:tcPr>
          <w:p>
            <w:r>
              <w:rPr>
                <w:sz w:val="14"/>
              </w:rPr>
              <w:t>Review the need for staff NRIC or FIN copies, PD-19, and dispose of copies with no justified need under RS-15.</w:t>
            </w:r>
          </w:p>
        </w:tc>
        <w:tc>
          <w:tcPr>
            <w:tcW w:type="dxa" w:w="4933"/>
          </w:tcPr>
          <w:p>
            <w:r>
              <w:rPr>
                <w:sz w:val="14"/>
              </w:rPr>
              <w:t>HR Manager</w:t>
            </w:r>
          </w:p>
        </w:tc>
        <w:tc>
          <w:tcPr>
            <w:tcW w:type="dxa" w:w="4933"/>
          </w:tcPr>
          <w:p>
            <w:r>
              <w:rPr>
                <w:sz w:val="14"/>
              </w:rPr>
              <w:t>15 January 2027</w:t>
            </w:r>
          </w:p>
        </w:tc>
      </w:tr>
      <w:tr>
        <w:tc>
          <w:tcPr>
            <w:tcW w:type="dxa" w:w="4933"/>
          </w:tcPr>
          <w:p>
            <w:r>
              <w:rPr>
                <w:sz w:val="14"/>
              </w:rPr>
              <w:t>Identify inactive web-shop accounts under RS-01 and review linked orders before disposing of eligible PD-01 records.</w:t>
            </w:r>
          </w:p>
        </w:tc>
        <w:tc>
          <w:tcPr>
            <w:tcW w:type="dxa" w:w="4933"/>
          </w:tcPr>
          <w:p>
            <w:r>
              <w:rPr>
                <w:sz w:val="14"/>
              </w:rPr>
              <w:t>Head of Customer Service</w:t>
            </w:r>
          </w:p>
        </w:tc>
        <w:tc>
          <w:tcPr>
            <w:tcW w:type="dxa" w:w="4933"/>
          </w:tcPr>
          <w:p>
            <w:r>
              <w:rPr>
                <w:sz w:val="14"/>
              </w:rPr>
              <w:t>31 January 2027</w:t>
            </w:r>
          </w:p>
        </w:tc>
      </w:tr>
      <w:tr>
        <w:tc>
          <w:tcPr>
            <w:tcW w:type="dxa" w:w="4933"/>
          </w:tcPr>
          <w:p>
            <w:r>
              <w:rPr>
                <w:sz w:val="14"/>
              </w:rPr>
              <w:t>Review old helpdesk tickets and chat transcripts, PD-06, against the approved RS-05 decision.</w:t>
            </w:r>
          </w:p>
        </w:tc>
        <w:tc>
          <w:tcPr>
            <w:tcW w:type="dxa" w:w="4933"/>
          </w:tcPr>
          <w:p>
            <w:r>
              <w:rPr>
                <w:sz w:val="14"/>
              </w:rPr>
              <w:t>Head of Customer Service</w:t>
            </w:r>
          </w:p>
        </w:tc>
        <w:tc>
          <w:tcPr>
            <w:tcW w:type="dxa" w:w="4933"/>
          </w:tcPr>
          <w:p>
            <w:r>
              <w:rPr>
                <w:sz w:val="14"/>
              </w:rPr>
              <w:t>28 February 2027</w:t>
            </w:r>
          </w:p>
        </w:tc>
      </w:tr>
    </w:tbl>
    <w:p/>
    <w:p>
      <w:r>
        <w:rPr/>
        <w:t>The DPO reviews the schedule at least once a year and whenever B3 records a new system, vendor or collection point.</w:t>
      </w:r>
    </w:p>
    <w:p>
      <w:r>
        <w:rPr/>
        <w:t>The 20-row retention schedule follows.</w:t>
      </w:r>
    </w:p>
    <w:p>
      <w:pPr>
        <w:pStyle w:val="Heading2"/>
      </w:pPr>
      <w:r>
        <w:t>Schedule, part 1: decisions and triggers</w:t>
      </w:r>
    </w:p>
    <w:tbl>
      <w:tblPr>
        <w:tblStyle w:val="TableGrid"/>
        <w:tblW w:type="auto" w:w="0"/>
        <w:tblLook w:firstColumn="1" w:firstRow="1" w:lastColumn="0" w:lastRow="0" w:noHBand="0" w:noVBand="1" w:val="04A0"/>
      </w:tblPr>
      <w:tblGrid>
        <w:gridCol w:w="2114"/>
        <w:gridCol w:w="2114"/>
        <w:gridCol w:w="2114"/>
        <w:gridCol w:w="2114"/>
        <w:gridCol w:w="2114"/>
        <w:gridCol w:w="2114"/>
        <w:gridCol w:w="2114"/>
      </w:tblGrid>
      <w:tr>
        <w:trPr>
          <w:tblHeader w:val="true"/>
        </w:trPr>
        <w:tc>
          <w:tcPr>
            <w:tcW w:type="dxa" w:w="2114"/>
            <w:shd w:val="clear" w:color="auto" w:fill="E9EDF1"/>
          </w:tcPr>
          <w:p>
            <w:r>
              <w:rPr>
                <w:b/>
                <w:sz w:val="14"/>
              </w:rPr>
              <w:t>ID</w:t>
            </w:r>
          </w:p>
        </w:tc>
        <w:tc>
          <w:tcPr>
            <w:tcW w:type="dxa" w:w="2114"/>
            <w:shd w:val="clear" w:color="auto" w:fill="E9EDF1"/>
          </w:tcPr>
          <w:p>
            <w:r>
              <w:rPr>
                <w:b/>
                <w:sz w:val="14"/>
              </w:rPr>
              <w:t>Record type</w:t>
            </w:r>
          </w:p>
        </w:tc>
        <w:tc>
          <w:tcPr>
            <w:tcW w:type="dxa" w:w="2114"/>
            <w:shd w:val="clear" w:color="auto" w:fill="E9EDF1"/>
          </w:tcPr>
          <w:p>
            <w:r>
              <w:rPr>
                <w:b/>
                <w:sz w:val="14"/>
              </w:rPr>
              <w:t>Inventory</w:t>
            </w:r>
          </w:p>
        </w:tc>
        <w:tc>
          <w:tcPr>
            <w:tcW w:type="dxa" w:w="2114"/>
            <w:shd w:val="clear" w:color="auto" w:fill="E9EDF1"/>
          </w:tcPr>
          <w:p>
            <w:r>
              <w:rPr>
                <w:b/>
                <w:sz w:val="14"/>
              </w:rPr>
              <w:t>Why keep it</w:t>
            </w:r>
          </w:p>
        </w:tc>
        <w:tc>
          <w:tcPr>
            <w:tcW w:type="dxa" w:w="2114"/>
            <w:shd w:val="clear" w:color="auto" w:fill="E9EDF1"/>
          </w:tcPr>
          <w:p>
            <w:r>
              <w:rPr>
                <w:b/>
                <w:sz w:val="14"/>
              </w:rPr>
              <w:t>Retention decision</w:t>
            </w:r>
          </w:p>
        </w:tc>
        <w:tc>
          <w:tcPr>
            <w:tcW w:type="dxa" w:w="2114"/>
            <w:shd w:val="clear" w:color="auto" w:fill="E9EDF1"/>
          </w:tcPr>
          <w:p>
            <w:r>
              <w:rPr>
                <w:b/>
                <w:sz w:val="14"/>
              </w:rPr>
              <w:t>Trigger</w:t>
            </w:r>
          </w:p>
        </w:tc>
        <w:tc>
          <w:tcPr>
            <w:tcW w:type="dxa" w:w="2114"/>
            <w:shd w:val="clear" w:color="auto" w:fill="E9EDF1"/>
          </w:tcPr>
          <w:p>
            <w:r>
              <w:rPr>
                <w:b/>
                <w:sz w:val="14"/>
              </w:rPr>
              <w:t>Status</w:t>
            </w:r>
          </w:p>
        </w:tc>
      </w:tr>
      <w:tr>
        <w:tc>
          <w:tcPr>
            <w:tcW w:type="dxa" w:w="2114"/>
          </w:tcPr>
          <w:p>
            <w:r>
              <w:rPr>
                <w:sz w:val="14"/>
              </w:rPr>
              <w:t>RS-01</w:t>
            </w:r>
          </w:p>
        </w:tc>
        <w:tc>
          <w:tcPr>
            <w:tcW w:type="dxa" w:w="2114"/>
          </w:tcPr>
          <w:p>
            <w:r>
              <w:rPr>
                <w:sz w:val="14"/>
              </w:rPr>
              <w:t>Web-shop customer accounts (inactive)</w:t>
            </w:r>
          </w:p>
        </w:tc>
        <w:tc>
          <w:tcPr>
            <w:tcW w:type="dxa" w:w="2114"/>
          </w:tcPr>
          <w:p>
            <w:r>
              <w:rPr>
                <w:sz w:val="14"/>
              </w:rPr>
              <w:t>PD-01</w:t>
            </w:r>
          </w:p>
        </w:tc>
        <w:tc>
          <w:tcPr>
            <w:tcW w:type="dxa" w:w="2114"/>
          </w:tcPr>
          <w:p>
            <w:r>
              <w:rPr>
                <w:sz w:val="14"/>
              </w:rPr>
              <w:t>Allow account reactivation or resolve account-related enquiries while the account remains useful.</w:t>
            </w:r>
          </w:p>
        </w:tc>
        <w:tc>
          <w:tcPr>
            <w:tcW w:type="dxa" w:w="2114"/>
          </w:tcPr>
          <w:p>
            <w:r>
              <w:rPr>
                <w:sz w:val="14"/>
              </w:rPr>
              <w:t>Proposed: 24 months after the last account activity, then delete or anonymise unless a documented matter requires a hold.</w:t>
            </w:r>
          </w:p>
        </w:tc>
        <w:tc>
          <w:tcPr>
            <w:tcW w:type="dxa" w:w="2114"/>
          </w:tcPr>
          <w:p>
            <w:r>
              <w:rPr>
                <w:sz w:val="14"/>
              </w:rPr>
              <w:t>Last customer account activity.</w:t>
            </w:r>
          </w:p>
        </w:tc>
        <w:tc>
          <w:tcPr>
            <w:tcW w:type="dxa" w:w="2114"/>
            <w:shd w:val="clear" w:color="auto" w:fill="FBF3DF"/>
          </w:tcPr>
          <w:p>
            <w:r>
              <w:rPr>
                <w:sz w:val="14"/>
              </w:rPr>
              <w:t>Proposed - to confirm with MD</w:t>
            </w:r>
          </w:p>
        </w:tc>
      </w:tr>
      <w:tr>
        <w:tc>
          <w:tcPr>
            <w:tcW w:type="dxa" w:w="2114"/>
          </w:tcPr>
          <w:p>
            <w:r>
              <w:rPr>
                <w:sz w:val="14"/>
              </w:rPr>
              <w:t>RS-02</w:t>
            </w:r>
          </w:p>
        </w:tc>
        <w:tc>
          <w:tcPr>
            <w:tcW w:type="dxa" w:w="2114"/>
          </w:tcPr>
          <w:p>
            <w:r>
              <w:rPr>
                <w:sz w:val="14"/>
              </w:rPr>
              <w:t>Orders, invoices and delivery records</w:t>
            </w:r>
          </w:p>
        </w:tc>
        <w:tc>
          <w:tcPr>
            <w:tcW w:type="dxa" w:w="2114"/>
          </w:tcPr>
          <w:p>
            <w:r>
              <w:rPr>
                <w:sz w:val="14"/>
              </w:rPr>
              <w:t>PD-02, PD-03, PD-12, PD-23</w:t>
            </w:r>
          </w:p>
        </w:tc>
        <w:tc>
          <w:tcPr>
            <w:tcW w:type="dxa" w:w="2114"/>
          </w:tcPr>
          <w:p>
            <w:r>
              <w:rPr>
                <w:sz w:val="14"/>
              </w:rPr>
              <w:t>Fulfil and support orders, reconcile payments, handle returns and disputes, and retain accounting and tax records as applicable.</w:t>
            </w:r>
          </w:p>
        </w:tc>
        <w:tc>
          <w:tcPr>
            <w:tcW w:type="dxa" w:w="2114"/>
          </w:tcPr>
          <w:p>
            <w:r>
              <w:rPr>
                <w:sz w:val="14"/>
              </w:rPr>
              <w:t>Period set by law: confirm with your accountant or lawyer</w:t>
            </w:r>
          </w:p>
        </w:tc>
        <w:tc>
          <w:tcPr>
            <w:tcW w:type="dxa" w:w="2114"/>
          </w:tcPr>
          <w:p>
            <w:r>
              <w:rPr>
                <w:sz w:val="14"/>
              </w:rPr>
              <w:t>Relevant accounting or tax record closure; confirm the appropriate trigger with your accountant or lawyer.</w:t>
            </w:r>
          </w:p>
        </w:tc>
        <w:tc>
          <w:tcPr>
            <w:tcW w:type="dxa" w:w="2114"/>
            <w:shd w:val="clear" w:color="auto" w:fill="FBF3DF"/>
          </w:tcPr>
          <w:p>
            <w:r>
              <w:rPr>
                <w:sz w:val="14"/>
              </w:rPr>
              <w:t>Open - legal input needed</w:t>
            </w:r>
          </w:p>
        </w:tc>
      </w:tr>
      <w:tr>
        <w:tc>
          <w:tcPr>
            <w:tcW w:type="dxa" w:w="2114"/>
          </w:tcPr>
          <w:p>
            <w:r>
              <w:rPr>
                <w:sz w:val="14"/>
              </w:rPr>
              <w:t>RS-03</w:t>
            </w:r>
          </w:p>
        </w:tc>
        <w:tc>
          <w:tcPr>
            <w:tcW w:type="dxa" w:w="2114"/>
          </w:tcPr>
          <w:p>
            <w:r>
              <w:rPr>
                <w:sz w:val="14"/>
              </w:rPr>
              <w:t>B2B account records (closed accounts)</w:t>
            </w:r>
          </w:p>
        </w:tc>
        <w:tc>
          <w:tcPr>
            <w:tcW w:type="dxa" w:w="2114"/>
          </w:tcPr>
          <w:p>
            <w:r>
              <w:rPr>
                <w:sz w:val="14"/>
              </w:rPr>
              <w:t>PD-04</w:t>
            </w:r>
          </w:p>
        </w:tc>
        <w:tc>
          <w:tcPr>
            <w:tcW w:type="dxa" w:w="2114"/>
          </w:tcPr>
          <w:p>
            <w:r>
              <w:rPr>
                <w:sz w:val="14"/>
              </w:rPr>
              <w:t>Resolve account queries and support orderly closure of business relationships.</w:t>
            </w:r>
          </w:p>
        </w:tc>
        <w:tc>
          <w:tcPr>
            <w:tcW w:type="dxa" w:w="2114"/>
          </w:tcPr>
          <w:p>
            <w:r>
              <w:rPr>
                <w:sz w:val="14"/>
              </w:rPr>
              <w:t>Proposed: 24 months after account closure, excluding records that must be retained under RS-02 or a documented dispute hold.</w:t>
            </w:r>
          </w:p>
        </w:tc>
        <w:tc>
          <w:tcPr>
            <w:tcW w:type="dxa" w:w="2114"/>
          </w:tcPr>
          <w:p>
            <w:r>
              <w:rPr>
                <w:sz w:val="14"/>
              </w:rPr>
              <w:t>B2B account closure.</w:t>
            </w:r>
          </w:p>
        </w:tc>
        <w:tc>
          <w:tcPr>
            <w:tcW w:type="dxa" w:w="2114"/>
            <w:shd w:val="clear" w:color="auto" w:fill="FBF3DF"/>
          </w:tcPr>
          <w:p>
            <w:r>
              <w:rPr>
                <w:sz w:val="14"/>
              </w:rPr>
              <w:t>Proposed - to confirm with MD</w:t>
            </w:r>
          </w:p>
        </w:tc>
      </w:tr>
      <w:tr>
        <w:tc>
          <w:tcPr>
            <w:tcW w:type="dxa" w:w="2114"/>
          </w:tcPr>
          <w:p>
            <w:r>
              <w:rPr>
                <w:sz w:val="14"/>
              </w:rPr>
              <w:t>RS-04</w:t>
            </w:r>
          </w:p>
        </w:tc>
        <w:tc>
          <w:tcPr>
            <w:tcW w:type="dxa" w:w="2114"/>
          </w:tcPr>
          <w:p>
            <w:r>
              <w:rPr>
                <w:sz w:val="14"/>
              </w:rPr>
              <w:t>B2B credit applications (declined)</w:t>
            </w:r>
          </w:p>
        </w:tc>
        <w:tc>
          <w:tcPr>
            <w:tcW w:type="dxa" w:w="2114"/>
          </w:tcPr>
          <w:p>
            <w:r>
              <w:rPr>
                <w:sz w:val="14"/>
              </w:rPr>
              <w:t>PD-05</w:t>
            </w:r>
          </w:p>
        </w:tc>
        <w:tc>
          <w:tcPr>
            <w:tcW w:type="dxa" w:w="2114"/>
          </w:tcPr>
          <w:p>
            <w:r>
              <w:rPr>
                <w:sz w:val="14"/>
              </w:rPr>
              <w:t>Document the application outcome and respond to related enquiries or disputes.</w:t>
            </w:r>
          </w:p>
        </w:tc>
        <w:tc>
          <w:tcPr>
            <w:tcW w:type="dxa" w:w="2114"/>
          </w:tcPr>
          <w:p>
            <w:r>
              <w:rPr>
                <w:sz w:val="14"/>
              </w:rPr>
              <w:t>Proposed: 12 months after the decline decision, unless a documented dispute or other justified hold requires longer.</w:t>
            </w:r>
          </w:p>
        </w:tc>
        <w:tc>
          <w:tcPr>
            <w:tcW w:type="dxa" w:w="2114"/>
          </w:tcPr>
          <w:p>
            <w:r>
              <w:rPr>
                <w:sz w:val="14"/>
              </w:rPr>
              <w:t>Date the applicant is informed of the decline.</w:t>
            </w:r>
          </w:p>
        </w:tc>
        <w:tc>
          <w:tcPr>
            <w:tcW w:type="dxa" w:w="2114"/>
            <w:shd w:val="clear" w:color="auto" w:fill="FBF3DF"/>
          </w:tcPr>
          <w:p>
            <w:r>
              <w:rPr>
                <w:sz w:val="14"/>
              </w:rPr>
              <w:t>Proposed - to confirm with MD</w:t>
            </w:r>
          </w:p>
        </w:tc>
      </w:tr>
      <w:tr>
        <w:tc>
          <w:tcPr>
            <w:tcW w:type="dxa" w:w="2114"/>
          </w:tcPr>
          <w:p>
            <w:r>
              <w:rPr>
                <w:sz w:val="14"/>
              </w:rPr>
              <w:t>RS-05</w:t>
            </w:r>
          </w:p>
        </w:tc>
        <w:tc>
          <w:tcPr>
            <w:tcW w:type="dxa" w:w="2114"/>
          </w:tcPr>
          <w:p>
            <w:r>
              <w:rPr>
                <w:sz w:val="14"/>
              </w:rPr>
              <w:t>Helpdesk tickets and chat transcripts</w:t>
            </w:r>
          </w:p>
        </w:tc>
        <w:tc>
          <w:tcPr>
            <w:tcW w:type="dxa" w:w="2114"/>
          </w:tcPr>
          <w:p>
            <w:r>
              <w:rPr>
                <w:sz w:val="14"/>
              </w:rPr>
              <w:t>PD-06</w:t>
            </w:r>
          </w:p>
        </w:tc>
        <w:tc>
          <w:tcPr>
            <w:tcW w:type="dxa" w:w="2114"/>
          </w:tcPr>
          <w:p>
            <w:r>
              <w:rPr>
                <w:sz w:val="14"/>
              </w:rPr>
              <w:t>Resolve service issues, respond to follow-up enquiries and identify related complaints.</w:t>
            </w:r>
          </w:p>
        </w:tc>
        <w:tc>
          <w:tcPr>
            <w:tcW w:type="dxa" w:w="2114"/>
          </w:tcPr>
          <w:p>
            <w:r>
              <w:rPr>
                <w:sz w:val="14"/>
              </w:rPr>
              <w:t>Proposed: 24 months after ticket closure, unless linked to a continuing dispute or documented hold.</w:t>
            </w:r>
          </w:p>
        </w:tc>
        <w:tc>
          <w:tcPr>
            <w:tcW w:type="dxa" w:w="2114"/>
          </w:tcPr>
          <w:p>
            <w:r>
              <w:rPr>
                <w:sz w:val="14"/>
              </w:rPr>
              <w:t>Ticket closure.</w:t>
            </w:r>
          </w:p>
        </w:tc>
        <w:tc>
          <w:tcPr>
            <w:tcW w:type="dxa" w:w="2114"/>
            <w:shd w:val="clear" w:color="auto" w:fill="FBF3DF"/>
          </w:tcPr>
          <w:p>
            <w:r>
              <w:rPr>
                <w:sz w:val="14"/>
              </w:rPr>
              <w:t>Proposed - to confirm with MD</w:t>
            </w:r>
          </w:p>
        </w:tc>
      </w:tr>
      <w:tr>
        <w:tc>
          <w:tcPr>
            <w:tcW w:type="dxa" w:w="2114"/>
          </w:tcPr>
          <w:p>
            <w:r>
              <w:rPr>
                <w:sz w:val="14"/>
              </w:rPr>
              <w:t>RS-06</w:t>
            </w:r>
          </w:p>
        </w:tc>
        <w:tc>
          <w:tcPr>
            <w:tcW w:type="dxa" w:w="2114"/>
          </w:tcPr>
          <w:p>
            <w:r>
              <w:rPr>
                <w:sz w:val="14"/>
              </w:rPr>
              <w:t>Call recordings</w:t>
            </w:r>
          </w:p>
        </w:tc>
        <w:tc>
          <w:tcPr>
            <w:tcW w:type="dxa" w:w="2114"/>
          </w:tcPr>
          <w:p>
            <w:r>
              <w:rPr>
                <w:sz w:val="14"/>
              </w:rPr>
              <w:t>PD-07</w:t>
            </w:r>
          </w:p>
        </w:tc>
        <w:tc>
          <w:tcPr>
            <w:tcW w:type="dxa" w:w="2114"/>
          </w:tcPr>
          <w:p>
            <w:r>
              <w:rPr>
                <w:sz w:val="14"/>
              </w:rPr>
              <w:t>Support the stated sales-line purpose and review a specific customer interaction where needed.</w:t>
            </w:r>
          </w:p>
        </w:tc>
        <w:tc>
          <w:tcPr>
            <w:tcW w:type="dxa" w:w="2114"/>
          </w:tcPr>
          <w:p>
            <w:r>
              <w:rPr>
                <w:sz w:val="14"/>
              </w:rPr>
              <w:t>Proposed: 90 days after the call, unless a recording is needed for a documented complaint or dispute.</w:t>
            </w:r>
          </w:p>
        </w:tc>
        <w:tc>
          <w:tcPr>
            <w:tcW w:type="dxa" w:w="2114"/>
          </w:tcPr>
          <w:p>
            <w:r>
              <w:rPr>
                <w:sz w:val="14"/>
              </w:rPr>
              <w:t>Date of the recorded call.</w:t>
            </w:r>
          </w:p>
        </w:tc>
        <w:tc>
          <w:tcPr>
            <w:tcW w:type="dxa" w:w="2114"/>
            <w:shd w:val="clear" w:color="auto" w:fill="FBF3DF"/>
          </w:tcPr>
          <w:p>
            <w:r>
              <w:rPr>
                <w:sz w:val="14"/>
              </w:rPr>
              <w:t>Proposed - to confirm with MD</w:t>
            </w:r>
          </w:p>
        </w:tc>
      </w:tr>
      <w:tr>
        <w:tc>
          <w:tcPr>
            <w:tcW w:type="dxa" w:w="2114"/>
          </w:tcPr>
          <w:p>
            <w:r>
              <w:rPr>
                <w:sz w:val="14"/>
              </w:rPr>
              <w:t>RS-07</w:t>
            </w:r>
          </w:p>
        </w:tc>
        <w:tc>
          <w:tcPr>
            <w:tcW w:type="dxa" w:w="2114"/>
          </w:tcPr>
          <w:p>
            <w:r>
              <w:rPr>
                <w:sz w:val="14"/>
              </w:rPr>
              <w:t>Marketing lists and consent records</w:t>
            </w:r>
          </w:p>
        </w:tc>
        <w:tc>
          <w:tcPr>
            <w:tcW w:type="dxa" w:w="2114"/>
          </w:tcPr>
          <w:p>
            <w:r>
              <w:rPr>
                <w:sz w:val="14"/>
              </w:rPr>
              <w:t>PD-08, PD-09</w:t>
            </w:r>
          </w:p>
        </w:tc>
        <w:tc>
          <w:tcPr>
            <w:tcW w:type="dxa" w:w="2114"/>
          </w:tcPr>
          <w:p>
            <w:r>
              <w:rPr>
                <w:sz w:val="14"/>
              </w:rPr>
              <w:t>Send marketing to people whose choices permit it and retain evidence of subscription, withdrawal or suppression.</w:t>
            </w:r>
          </w:p>
        </w:tc>
        <w:tc>
          <w:tcPr>
            <w:tcW w:type="dxa" w:w="2114"/>
          </w:tcPr>
          <w:p>
            <w:r>
              <w:rPr>
                <w:sz w:val="14"/>
              </w:rPr>
              <w:t>Proposed: retain active subscription details while the subscription remains active; retain consent and suppression evidence for 24 months after withdrawal or list removal, subject to management and legal review.</w:t>
            </w:r>
          </w:p>
        </w:tc>
        <w:tc>
          <w:tcPr>
            <w:tcW w:type="dxa" w:w="2114"/>
          </w:tcPr>
          <w:p>
            <w:r>
              <w:rPr>
                <w:sz w:val="14"/>
              </w:rPr>
              <w:t>Subscription withdrawal or removal from the active marketing list.</w:t>
            </w:r>
          </w:p>
        </w:tc>
        <w:tc>
          <w:tcPr>
            <w:tcW w:type="dxa" w:w="2114"/>
            <w:shd w:val="clear" w:color="auto" w:fill="FBF3DF"/>
          </w:tcPr>
          <w:p>
            <w:r>
              <w:rPr>
                <w:sz w:val="14"/>
              </w:rPr>
              <w:t>Open - legal input needed</w:t>
            </w:r>
          </w:p>
        </w:tc>
      </w:tr>
      <w:tr>
        <w:tc>
          <w:tcPr>
            <w:tcW w:type="dxa" w:w="2114"/>
          </w:tcPr>
          <w:p>
            <w:r>
              <w:rPr>
                <w:sz w:val="14"/>
              </w:rPr>
              <w:t>RS-08</w:t>
            </w:r>
          </w:p>
        </w:tc>
        <w:tc>
          <w:tcPr>
            <w:tcW w:type="dxa" w:w="2114"/>
          </w:tcPr>
          <w:p>
            <w:r>
              <w:rPr>
                <w:sz w:val="14"/>
              </w:rPr>
              <w:t>Telemarketing DNC check records</w:t>
            </w:r>
          </w:p>
        </w:tc>
        <w:tc>
          <w:tcPr>
            <w:tcW w:type="dxa" w:w="2114"/>
          </w:tcPr>
          <w:p>
            <w:r>
              <w:rPr>
                <w:sz w:val="14"/>
              </w:rPr>
              <w:t>PD-10</w:t>
            </w:r>
          </w:p>
        </w:tc>
        <w:tc>
          <w:tcPr>
            <w:tcW w:type="dxa" w:w="2114"/>
          </w:tcPr>
          <w:p>
            <w:r>
              <w:rPr>
                <w:sz w:val="14"/>
              </w:rPr>
              <w:t>Evidence that campaign numbers were checked and screened before calls were made.</w:t>
            </w:r>
          </w:p>
        </w:tc>
        <w:tc>
          <w:tcPr>
            <w:tcW w:type="dxa" w:w="2114"/>
          </w:tcPr>
          <w:p>
            <w:r>
              <w:rPr>
                <w:sz w:val="14"/>
              </w:rPr>
              <w:t>Proposed: 24 months after the last call attempt for the campaign, subject to review of operational and legal needs.</w:t>
            </w:r>
          </w:p>
        </w:tc>
        <w:tc>
          <w:tcPr>
            <w:tcW w:type="dxa" w:w="2114"/>
          </w:tcPr>
          <w:p>
            <w:r>
              <w:rPr>
                <w:sz w:val="14"/>
              </w:rPr>
              <w:t>Last call attempt for the relevant campaign.</w:t>
            </w:r>
          </w:p>
        </w:tc>
        <w:tc>
          <w:tcPr>
            <w:tcW w:type="dxa" w:w="2114"/>
            <w:shd w:val="clear" w:color="auto" w:fill="FBF3DF"/>
          </w:tcPr>
          <w:p>
            <w:r>
              <w:rPr>
                <w:sz w:val="14"/>
              </w:rPr>
              <w:t>Open - legal input needed</w:t>
            </w:r>
          </w:p>
        </w:tc>
      </w:tr>
      <w:tr>
        <w:tc>
          <w:tcPr>
            <w:tcW w:type="dxa" w:w="2114"/>
          </w:tcPr>
          <w:p>
            <w:r>
              <w:rPr>
                <w:sz w:val="14"/>
              </w:rPr>
              <w:t>RS-09</w:t>
            </w:r>
          </w:p>
        </w:tc>
        <w:tc>
          <w:tcPr>
            <w:tcW w:type="dxa" w:w="2114"/>
          </w:tcPr>
          <w:p>
            <w:r>
              <w:rPr>
                <w:sz w:val="14"/>
              </w:rPr>
              <w:t>Showroom CCTV</w:t>
            </w:r>
          </w:p>
        </w:tc>
        <w:tc>
          <w:tcPr>
            <w:tcW w:type="dxa" w:w="2114"/>
          </w:tcPr>
          <w:p>
            <w:r>
              <w:rPr>
                <w:sz w:val="14"/>
              </w:rPr>
              <w:t>PD-13</w:t>
            </w:r>
          </w:p>
        </w:tc>
        <w:tc>
          <w:tcPr>
            <w:tcW w:type="dxa" w:w="2114"/>
          </w:tcPr>
          <w:p>
            <w:r>
              <w:rPr>
                <w:sz w:val="14"/>
              </w:rPr>
              <w:t>Support the stated showroom security purpose and review relevant incidents.</w:t>
            </w:r>
          </w:p>
        </w:tc>
        <w:tc>
          <w:tcPr>
            <w:tcW w:type="dxa" w:w="2114"/>
          </w:tcPr>
          <w:p>
            <w:r>
              <w:rPr>
                <w:sz w:val="14"/>
              </w:rPr>
              <w:t>Proposed: about 30 days after recording, consistent with the client-reported overwrite setting, unless footage is preserved for a documented incident; verify the setting.</w:t>
            </w:r>
          </w:p>
        </w:tc>
        <w:tc>
          <w:tcPr>
            <w:tcW w:type="dxa" w:w="2114"/>
          </w:tcPr>
          <w:p>
            <w:r>
              <w:rPr>
                <w:sz w:val="14"/>
              </w:rPr>
              <w:t>Date and time of recording.</w:t>
            </w:r>
          </w:p>
        </w:tc>
        <w:tc>
          <w:tcPr>
            <w:tcW w:type="dxa" w:w="2114"/>
            <w:shd w:val="clear" w:color="auto" w:fill="FBF3DF"/>
          </w:tcPr>
          <w:p>
            <w:r>
              <w:rPr>
                <w:sz w:val="14"/>
              </w:rPr>
              <w:t>Proposed - to confirm with MD</w:t>
            </w:r>
          </w:p>
        </w:tc>
      </w:tr>
      <w:tr>
        <w:tc>
          <w:tcPr>
            <w:tcW w:type="dxa" w:w="2114"/>
          </w:tcPr>
          <w:p>
            <w:r>
              <w:rPr>
                <w:sz w:val="14"/>
              </w:rPr>
              <w:t>RS-10</w:t>
            </w:r>
          </w:p>
        </w:tc>
        <w:tc>
          <w:tcPr>
            <w:tcW w:type="dxa" w:w="2114"/>
          </w:tcPr>
          <w:p>
            <w:r>
              <w:rPr>
                <w:sz w:val="14"/>
              </w:rPr>
              <w:t>Visitor logs</w:t>
            </w:r>
          </w:p>
        </w:tc>
        <w:tc>
          <w:tcPr>
            <w:tcW w:type="dxa" w:w="2114"/>
          </w:tcPr>
          <w:p>
            <w:r>
              <w:rPr>
                <w:sz w:val="14"/>
              </w:rPr>
              <w:t>PD-14</w:t>
            </w:r>
          </w:p>
        </w:tc>
        <w:tc>
          <w:tcPr>
            <w:tcW w:type="dxa" w:w="2114"/>
          </w:tcPr>
          <w:p>
            <w:r>
              <w:rPr>
                <w:sz w:val="14"/>
              </w:rPr>
              <w:t>Support visitor access administration and follow up a site security matter if required.</w:t>
            </w:r>
          </w:p>
        </w:tc>
        <w:tc>
          <w:tcPr>
            <w:tcW w:type="dxa" w:w="2114"/>
          </w:tcPr>
          <w:p>
            <w:r>
              <w:rPr>
                <w:sz w:val="14"/>
              </w:rPr>
              <w:t>Proposed: 6 months after the visit, unless a documented incident requires a hold.</w:t>
            </w:r>
          </w:p>
        </w:tc>
        <w:tc>
          <w:tcPr>
            <w:tcW w:type="dxa" w:w="2114"/>
          </w:tcPr>
          <w:p>
            <w:r>
              <w:rPr>
                <w:sz w:val="14"/>
              </w:rPr>
              <w:t>Visitor's sign-out date or, if not recorded, the visit date.</w:t>
            </w:r>
          </w:p>
        </w:tc>
        <w:tc>
          <w:tcPr>
            <w:tcW w:type="dxa" w:w="2114"/>
            <w:shd w:val="clear" w:color="auto" w:fill="FBF3DF"/>
          </w:tcPr>
          <w:p>
            <w:r>
              <w:rPr>
                <w:sz w:val="14"/>
              </w:rPr>
              <w:t>Proposed - to confirm with MD</w:t>
            </w:r>
          </w:p>
        </w:tc>
      </w:tr>
      <w:tr>
        <w:tc>
          <w:tcPr>
            <w:tcW w:type="dxa" w:w="2114"/>
          </w:tcPr>
          <w:p>
            <w:r>
              <w:rPr>
                <w:sz w:val="14"/>
              </w:rPr>
              <w:t>RS-11</w:t>
            </w:r>
          </w:p>
        </w:tc>
        <w:tc>
          <w:tcPr>
            <w:tcW w:type="dxa" w:w="2114"/>
          </w:tcPr>
          <w:p>
            <w:r>
              <w:rPr>
                <w:sz w:val="14"/>
              </w:rPr>
              <w:t>Job applications (unsuccessful)</w:t>
            </w:r>
          </w:p>
        </w:tc>
        <w:tc>
          <w:tcPr>
            <w:tcW w:type="dxa" w:w="2114"/>
          </w:tcPr>
          <w:p>
            <w:r>
              <w:rPr>
                <w:sz w:val="14"/>
              </w:rPr>
              <w:t>PD-15</w:t>
            </w:r>
          </w:p>
        </w:tc>
        <w:tc>
          <w:tcPr>
            <w:tcW w:type="dxa" w:w="2114"/>
          </w:tcPr>
          <w:p>
            <w:r>
              <w:rPr>
                <w:sz w:val="14"/>
              </w:rPr>
              <w:t>Complete recruitment administration and respond to a query about the application outcome.</w:t>
            </w:r>
          </w:p>
        </w:tc>
        <w:tc>
          <w:tcPr>
            <w:tcW w:type="dxa" w:w="2114"/>
          </w:tcPr>
          <w:p>
            <w:r>
              <w:rPr>
                <w:sz w:val="14"/>
              </w:rPr>
              <w:t>Proposed: 6 months after the applicant is informed of the outcome, unless a documented dispute or other justified hold applies.</w:t>
            </w:r>
          </w:p>
        </w:tc>
        <w:tc>
          <w:tcPr>
            <w:tcW w:type="dxa" w:w="2114"/>
          </w:tcPr>
          <w:p>
            <w:r>
              <w:rPr>
                <w:sz w:val="14"/>
              </w:rPr>
              <w:t>Date the applicant is informed that their application was unsuccessful.</w:t>
            </w:r>
          </w:p>
        </w:tc>
        <w:tc>
          <w:tcPr>
            <w:tcW w:type="dxa" w:w="2114"/>
            <w:shd w:val="clear" w:color="auto" w:fill="FBF3DF"/>
          </w:tcPr>
          <w:p>
            <w:r>
              <w:rPr>
                <w:sz w:val="14"/>
              </w:rPr>
              <w:t>Proposed - to confirm with MD</w:t>
            </w:r>
          </w:p>
        </w:tc>
      </w:tr>
      <w:tr>
        <w:tc>
          <w:tcPr>
            <w:tcW w:type="dxa" w:w="2114"/>
          </w:tcPr>
          <w:p>
            <w:r>
              <w:rPr>
                <w:sz w:val="14"/>
              </w:rPr>
              <w:t>RS-12</w:t>
            </w:r>
          </w:p>
        </w:tc>
        <w:tc>
          <w:tcPr>
            <w:tcW w:type="dxa" w:w="2114"/>
          </w:tcPr>
          <w:p>
            <w:r>
              <w:rPr>
                <w:sz w:val="14"/>
              </w:rPr>
              <w:t>Employee HR files (after exit)</w:t>
            </w:r>
          </w:p>
        </w:tc>
        <w:tc>
          <w:tcPr>
            <w:tcW w:type="dxa" w:w="2114"/>
          </w:tcPr>
          <w:p>
            <w:r>
              <w:rPr>
                <w:sz w:val="14"/>
              </w:rPr>
              <w:t>PD-16</w:t>
            </w:r>
          </w:p>
        </w:tc>
        <w:tc>
          <w:tcPr>
            <w:tcW w:type="dxa" w:w="2114"/>
          </w:tcPr>
          <w:p>
            <w:r>
              <w:rPr>
                <w:sz w:val="14"/>
              </w:rPr>
              <w:t>Administer employment close-out and respond to relevant employment queries or disputes.</w:t>
            </w:r>
          </w:p>
        </w:tc>
        <w:tc>
          <w:tcPr>
            <w:tcW w:type="dxa" w:w="2114"/>
          </w:tcPr>
          <w:p>
            <w:r>
              <w:rPr>
                <w:sz w:val="14"/>
              </w:rPr>
              <w:t>Open: MD to set the period after a Singapore-qualified lawyer confirms any legal driver for employment records. Separate payroll and CPF items (RS-13) and medical items (RS-14) first.</w:t>
            </w:r>
          </w:p>
        </w:tc>
        <w:tc>
          <w:tcPr>
            <w:tcW w:type="dxa" w:w="2114"/>
          </w:tcPr>
          <w:p>
            <w:r>
              <w:rPr>
                <w:sz w:val="14"/>
              </w:rPr>
              <w:t>Employee's last day of employment.</w:t>
            </w:r>
          </w:p>
        </w:tc>
        <w:tc>
          <w:tcPr>
            <w:tcW w:type="dxa" w:w="2114"/>
            <w:shd w:val="clear" w:color="auto" w:fill="FBF3DF"/>
          </w:tcPr>
          <w:p>
            <w:r>
              <w:rPr>
                <w:sz w:val="14"/>
              </w:rPr>
              <w:t>Open - legal input needed</w:t>
            </w:r>
          </w:p>
        </w:tc>
      </w:tr>
      <w:tr>
        <w:tc>
          <w:tcPr>
            <w:tcW w:type="dxa" w:w="2114"/>
          </w:tcPr>
          <w:p>
            <w:r>
              <w:rPr>
                <w:sz w:val="14"/>
              </w:rPr>
              <w:t>RS-13</w:t>
            </w:r>
          </w:p>
        </w:tc>
        <w:tc>
          <w:tcPr>
            <w:tcW w:type="dxa" w:w="2114"/>
          </w:tcPr>
          <w:p>
            <w:r>
              <w:rPr>
                <w:sz w:val="14"/>
              </w:rPr>
              <w:t>Payroll and CPF records</w:t>
            </w:r>
          </w:p>
        </w:tc>
        <w:tc>
          <w:tcPr>
            <w:tcW w:type="dxa" w:w="2114"/>
          </w:tcPr>
          <w:p>
            <w:r>
              <w:rPr>
                <w:sz w:val="14"/>
              </w:rPr>
              <w:t>PD-17</w:t>
            </w:r>
          </w:p>
        </w:tc>
        <w:tc>
          <w:tcPr>
            <w:tcW w:type="dxa" w:w="2114"/>
          </w:tcPr>
          <w:p>
            <w:r>
              <w:rPr>
                <w:sz w:val="14"/>
              </w:rPr>
              <w:t>Administer payroll and CPF-related processes and retain accounting, tax and employment records as applicable.</w:t>
            </w:r>
          </w:p>
        </w:tc>
        <w:tc>
          <w:tcPr>
            <w:tcW w:type="dxa" w:w="2114"/>
          </w:tcPr>
          <w:p>
            <w:r>
              <w:rPr>
                <w:sz w:val="14"/>
              </w:rPr>
              <w:t>Period set by law: confirm with your accountant or lawyer</w:t>
            </w:r>
          </w:p>
        </w:tc>
        <w:tc>
          <w:tcPr>
            <w:tcW w:type="dxa" w:w="2114"/>
          </w:tcPr>
          <w:p>
            <w:r>
              <w:rPr>
                <w:sz w:val="14"/>
              </w:rPr>
              <w:t>Relevant payroll, CPF, accounting or tax record closure; confirm the appropriate trigger with your accountant or lawyer.</w:t>
            </w:r>
          </w:p>
        </w:tc>
        <w:tc>
          <w:tcPr>
            <w:tcW w:type="dxa" w:w="2114"/>
            <w:shd w:val="clear" w:color="auto" w:fill="FBF3DF"/>
          </w:tcPr>
          <w:p>
            <w:r>
              <w:rPr>
                <w:sz w:val="14"/>
              </w:rPr>
              <w:t>Open - legal input needed</w:t>
            </w:r>
          </w:p>
        </w:tc>
      </w:tr>
      <w:tr>
        <w:tc>
          <w:tcPr>
            <w:tcW w:type="dxa" w:w="2114"/>
          </w:tcPr>
          <w:p>
            <w:r>
              <w:rPr>
                <w:sz w:val="14"/>
              </w:rPr>
              <w:t>RS-14</w:t>
            </w:r>
          </w:p>
        </w:tc>
        <w:tc>
          <w:tcPr>
            <w:tcW w:type="dxa" w:w="2114"/>
          </w:tcPr>
          <w:p>
            <w:r>
              <w:rPr>
                <w:sz w:val="14"/>
              </w:rPr>
              <w:t>Medical certificates</w:t>
            </w:r>
          </w:p>
        </w:tc>
        <w:tc>
          <w:tcPr>
            <w:tcW w:type="dxa" w:w="2114"/>
          </w:tcPr>
          <w:p>
            <w:r>
              <w:rPr>
                <w:sz w:val="14"/>
              </w:rPr>
              <w:t>PD-18</w:t>
            </w:r>
          </w:p>
        </w:tc>
        <w:tc>
          <w:tcPr>
            <w:tcW w:type="dxa" w:w="2114"/>
          </w:tcPr>
          <w:p>
            <w:r>
              <w:rPr>
                <w:sz w:val="14"/>
              </w:rPr>
              <w:t>Administer employee leave and retain supporting records for the relevant employment process.</w:t>
            </w:r>
          </w:p>
        </w:tc>
        <w:tc>
          <w:tcPr>
            <w:tcW w:type="dxa" w:w="2114"/>
          </w:tcPr>
          <w:p>
            <w:r>
              <w:rPr>
                <w:sz w:val="14"/>
              </w:rPr>
              <w:t>Open: MD to set the period after a lawyer confirms any legal driver for leave and medical records; keep only what is needed to administer leave.</w:t>
            </w:r>
          </w:p>
        </w:tc>
        <w:tc>
          <w:tcPr>
            <w:tcW w:type="dxa" w:w="2114"/>
          </w:tcPr>
          <w:p>
            <w:r>
              <w:rPr>
                <w:sz w:val="14"/>
              </w:rPr>
              <w:t>Closure of the related leave record.</w:t>
            </w:r>
          </w:p>
        </w:tc>
        <w:tc>
          <w:tcPr>
            <w:tcW w:type="dxa" w:w="2114"/>
            <w:shd w:val="clear" w:color="auto" w:fill="FBF3DF"/>
          </w:tcPr>
          <w:p>
            <w:r>
              <w:rPr>
                <w:sz w:val="14"/>
              </w:rPr>
              <w:t>Open - legal input needed</w:t>
            </w:r>
          </w:p>
        </w:tc>
      </w:tr>
      <w:tr>
        <w:tc>
          <w:tcPr>
            <w:tcW w:type="dxa" w:w="2114"/>
          </w:tcPr>
          <w:p>
            <w:r>
              <w:rPr>
                <w:sz w:val="14"/>
              </w:rPr>
              <w:t>RS-15</w:t>
            </w:r>
          </w:p>
        </w:tc>
        <w:tc>
          <w:tcPr>
            <w:tcW w:type="dxa" w:w="2114"/>
          </w:tcPr>
          <w:p>
            <w:r>
              <w:rPr>
                <w:sz w:val="14"/>
              </w:rPr>
              <w:t>NRIC or FIN copies</w:t>
            </w:r>
          </w:p>
        </w:tc>
        <w:tc>
          <w:tcPr>
            <w:tcW w:type="dxa" w:w="2114"/>
          </w:tcPr>
          <w:p>
            <w:r>
              <w:rPr>
                <w:sz w:val="14"/>
              </w:rPr>
              <w:t>PD-19</w:t>
            </w:r>
          </w:p>
        </w:tc>
        <w:tc>
          <w:tcPr>
            <w:tcW w:type="dxa" w:w="2114"/>
          </w:tcPr>
          <w:p>
            <w:r>
              <w:rPr>
                <w:sz w:val="14"/>
              </w:rPr>
              <w:t>Purpose and necessity of retaining copies have not been established; review whether a copy is needed at all.</w:t>
            </w:r>
          </w:p>
        </w:tc>
        <w:tc>
          <w:tcPr>
            <w:tcW w:type="dxa" w:w="2114"/>
          </w:tcPr>
          <w:p>
            <w:r>
              <w:rPr>
                <w:sz w:val="14"/>
              </w:rPr>
              <w:t>Open pending review of necessity; if no justified need is confirmed, securely dispose of existing copies.</w:t>
            </w:r>
          </w:p>
        </w:tc>
        <w:tc>
          <w:tcPr>
            <w:tcW w:type="dxa" w:w="2114"/>
          </w:tcPr>
          <w:p>
            <w:r>
              <w:rPr>
                <w:sz w:val="14"/>
              </w:rPr>
              <w:t>Completion of the necessity review and any required identity-verification process.</w:t>
            </w:r>
          </w:p>
        </w:tc>
        <w:tc>
          <w:tcPr>
            <w:tcW w:type="dxa" w:w="2114"/>
            <w:shd w:val="clear" w:color="auto" w:fill="FBF3DF"/>
          </w:tcPr>
          <w:p>
            <w:r>
              <w:rPr>
                <w:sz w:val="14"/>
              </w:rPr>
              <w:t>Open - legal input needed</w:t>
            </w:r>
          </w:p>
        </w:tc>
      </w:tr>
      <w:tr>
        <w:tc>
          <w:tcPr>
            <w:tcW w:type="dxa" w:w="2114"/>
          </w:tcPr>
          <w:p>
            <w:r>
              <w:rPr>
                <w:sz w:val="14"/>
              </w:rPr>
              <w:t>RS-16</w:t>
            </w:r>
          </w:p>
        </w:tc>
        <w:tc>
          <w:tcPr>
            <w:tcW w:type="dxa" w:w="2114"/>
          </w:tcPr>
          <w:p>
            <w:r>
              <w:rPr>
                <w:sz w:val="14"/>
              </w:rPr>
              <w:t>Access and correction request log</w:t>
            </w:r>
          </w:p>
        </w:tc>
        <w:tc>
          <w:tcPr>
            <w:tcW w:type="dxa" w:w="2114"/>
          </w:tcPr>
          <w:p>
            <w:r>
              <w:rPr>
                <w:sz w:val="14"/>
              </w:rPr>
              <w:t>PD-25</w:t>
            </w:r>
          </w:p>
        </w:tc>
        <w:tc>
          <w:tcPr>
            <w:tcW w:type="dxa" w:w="2114"/>
          </w:tcPr>
          <w:p>
            <w:r>
              <w:rPr>
                <w:sz w:val="14"/>
              </w:rPr>
              <w:t>Track requests, response actions, decisions and completion of access or correction handling.</w:t>
            </w:r>
          </w:p>
        </w:tc>
        <w:tc>
          <w:tcPr>
            <w:tcW w:type="dxa" w:w="2114"/>
          </w:tcPr>
          <w:p>
            <w:r>
              <w:rPr>
                <w:sz w:val="14"/>
              </w:rPr>
              <w:t>Proposed: 3 years after the request is closed, unless a documented complaint, dispute or legal hold applies.</w:t>
            </w:r>
          </w:p>
        </w:tc>
        <w:tc>
          <w:tcPr>
            <w:tcW w:type="dxa" w:w="2114"/>
          </w:tcPr>
          <w:p>
            <w:r>
              <w:rPr>
                <w:sz w:val="14"/>
              </w:rPr>
              <w:t>Request closure.</w:t>
            </w:r>
          </w:p>
        </w:tc>
        <w:tc>
          <w:tcPr>
            <w:tcW w:type="dxa" w:w="2114"/>
            <w:shd w:val="clear" w:color="auto" w:fill="FBF3DF"/>
          </w:tcPr>
          <w:p>
            <w:r>
              <w:rPr>
                <w:sz w:val="14"/>
              </w:rPr>
              <w:t>Proposed - to confirm with MD</w:t>
            </w:r>
          </w:p>
        </w:tc>
      </w:tr>
      <w:tr>
        <w:tc>
          <w:tcPr>
            <w:tcW w:type="dxa" w:w="2114"/>
          </w:tcPr>
          <w:p>
            <w:r>
              <w:rPr>
                <w:sz w:val="14"/>
              </w:rPr>
              <w:t>RS-17</w:t>
            </w:r>
          </w:p>
        </w:tc>
        <w:tc>
          <w:tcPr>
            <w:tcW w:type="dxa" w:w="2114"/>
          </w:tcPr>
          <w:p>
            <w:r>
              <w:rPr>
                <w:sz w:val="14"/>
              </w:rPr>
              <w:t>Breach and incident records</w:t>
            </w:r>
          </w:p>
        </w:tc>
        <w:tc>
          <w:tcPr>
            <w:tcW w:type="dxa" w:w="2114"/>
          </w:tcPr>
          <w:p>
            <w:r>
              <w:rPr>
                <w:sz w:val="14"/>
              </w:rPr>
              <w:t>PD-25</w:t>
            </w:r>
          </w:p>
        </w:tc>
        <w:tc>
          <w:tcPr>
            <w:tcW w:type="dxa" w:w="2114"/>
          </w:tcPr>
          <w:p>
            <w:r>
              <w:rPr>
                <w:sz w:val="14"/>
              </w:rPr>
              <w:t>Document incident facts, assessment, notification decision, response actions and lessons.</w:t>
            </w:r>
          </w:p>
        </w:tc>
        <w:tc>
          <w:tcPr>
            <w:tcW w:type="dxa" w:w="2114"/>
          </w:tcPr>
          <w:p>
            <w:r>
              <w:rPr>
                <w:sz w:val="14"/>
              </w:rPr>
              <w:t>Open: MD to set the period after legal review. Keep the incident record, assessment and decision log at least until all actions are closed and any regulator or legal matter has ended.</w:t>
            </w:r>
          </w:p>
        </w:tc>
        <w:tc>
          <w:tcPr>
            <w:tcW w:type="dxa" w:w="2114"/>
          </w:tcPr>
          <w:p>
            <w:r>
              <w:rPr>
                <w:sz w:val="14"/>
              </w:rPr>
              <w:t>Incident closure after actions and review are recorded.</w:t>
            </w:r>
          </w:p>
        </w:tc>
        <w:tc>
          <w:tcPr>
            <w:tcW w:type="dxa" w:w="2114"/>
            <w:shd w:val="clear" w:color="auto" w:fill="FBF3DF"/>
          </w:tcPr>
          <w:p>
            <w:r>
              <w:rPr>
                <w:sz w:val="14"/>
              </w:rPr>
              <w:t>Open - legal input needed</w:t>
            </w:r>
          </w:p>
        </w:tc>
      </w:tr>
      <w:tr>
        <w:tc>
          <w:tcPr>
            <w:tcW w:type="dxa" w:w="2114"/>
          </w:tcPr>
          <w:p>
            <w:r>
              <w:rPr>
                <w:sz w:val="14"/>
              </w:rPr>
              <w:t>RS-18</w:t>
            </w:r>
          </w:p>
        </w:tc>
        <w:tc>
          <w:tcPr>
            <w:tcW w:type="dxa" w:w="2114"/>
          </w:tcPr>
          <w:p>
            <w:r>
              <w:rPr>
                <w:sz w:val="14"/>
              </w:rPr>
              <w:t>System audit logs</w:t>
            </w:r>
          </w:p>
        </w:tc>
        <w:tc>
          <w:tcPr>
            <w:tcW w:type="dxa" w:w="2114"/>
          </w:tcPr>
          <w:p>
            <w:r>
              <w:rPr>
                <w:sz w:val="14"/>
              </w:rPr>
              <w:t>PD-21</w:t>
            </w:r>
          </w:p>
        </w:tc>
        <w:tc>
          <w:tcPr>
            <w:tcW w:type="dxa" w:w="2114"/>
          </w:tcPr>
          <w:p>
            <w:r>
              <w:rPr>
                <w:sz w:val="14"/>
              </w:rPr>
              <w:t>Support security monitoring, incident investigation and review of access to systems.</w:t>
            </w:r>
          </w:p>
        </w:tc>
        <w:tc>
          <w:tcPr>
            <w:tcW w:type="dxa" w:w="2114"/>
          </w:tcPr>
          <w:p>
            <w:r>
              <w:rPr>
                <w:sz w:val="14"/>
              </w:rPr>
              <w:t>Proposed: 12 months after log creation, subject to system capability, investigation needs and management review.</w:t>
            </w:r>
          </w:p>
        </w:tc>
        <w:tc>
          <w:tcPr>
            <w:tcW w:type="dxa" w:w="2114"/>
          </w:tcPr>
          <w:p>
            <w:r>
              <w:rPr>
                <w:sz w:val="14"/>
              </w:rPr>
              <w:t>Log creation date.</w:t>
            </w:r>
          </w:p>
        </w:tc>
        <w:tc>
          <w:tcPr>
            <w:tcW w:type="dxa" w:w="2114"/>
            <w:shd w:val="clear" w:color="auto" w:fill="FBF3DF"/>
          </w:tcPr>
          <w:p>
            <w:r>
              <w:rPr>
                <w:sz w:val="14"/>
              </w:rPr>
              <w:t>Proposed - to confirm with MD</w:t>
            </w:r>
          </w:p>
        </w:tc>
      </w:tr>
      <w:tr>
        <w:tc>
          <w:tcPr>
            <w:tcW w:type="dxa" w:w="2114"/>
          </w:tcPr>
          <w:p>
            <w:r>
              <w:rPr>
                <w:sz w:val="14"/>
              </w:rPr>
              <w:t>RS-19</w:t>
            </w:r>
          </w:p>
        </w:tc>
        <w:tc>
          <w:tcPr>
            <w:tcW w:type="dxa" w:w="2114"/>
          </w:tcPr>
          <w:p>
            <w:r>
              <w:rPr>
                <w:sz w:val="14"/>
              </w:rPr>
              <w:t>Supplier contact records</w:t>
            </w:r>
          </w:p>
        </w:tc>
        <w:tc>
          <w:tcPr>
            <w:tcW w:type="dxa" w:w="2114"/>
          </w:tcPr>
          <w:p>
            <w:r>
              <w:rPr>
                <w:sz w:val="14"/>
              </w:rPr>
              <w:t>PD-22</w:t>
            </w:r>
          </w:p>
        </w:tc>
        <w:tc>
          <w:tcPr>
            <w:tcW w:type="dxa" w:w="2114"/>
          </w:tcPr>
          <w:p>
            <w:r>
              <w:rPr>
                <w:sz w:val="14"/>
              </w:rPr>
              <w:t>Manage supplier relationships and operational communications.</w:t>
            </w:r>
          </w:p>
        </w:tc>
        <w:tc>
          <w:tcPr>
            <w:tcW w:type="dxa" w:w="2114"/>
          </w:tcPr>
          <w:p>
            <w:r>
              <w:rPr>
                <w:sz w:val="14"/>
              </w:rPr>
              <w:t>Proposed: 24 months after the supplier relationship ends, excluding transaction records retained under RS-02.</w:t>
            </w:r>
          </w:p>
        </w:tc>
        <w:tc>
          <w:tcPr>
            <w:tcW w:type="dxa" w:w="2114"/>
          </w:tcPr>
          <w:p>
            <w:r>
              <w:rPr>
                <w:sz w:val="14"/>
              </w:rPr>
              <w:t>End of the supplier relationship.</w:t>
            </w:r>
          </w:p>
        </w:tc>
        <w:tc>
          <w:tcPr>
            <w:tcW w:type="dxa" w:w="2114"/>
            <w:shd w:val="clear" w:color="auto" w:fill="FBF3DF"/>
          </w:tcPr>
          <w:p>
            <w:r>
              <w:rPr>
                <w:sz w:val="14"/>
              </w:rPr>
              <w:t>Proposed - to confirm with MD</w:t>
            </w:r>
          </w:p>
        </w:tc>
      </w:tr>
      <w:tr>
        <w:tc>
          <w:tcPr>
            <w:tcW w:type="dxa" w:w="2114"/>
          </w:tcPr>
          <w:p>
            <w:r>
              <w:rPr>
                <w:sz w:val="14"/>
              </w:rPr>
              <w:t>RS-20</w:t>
            </w:r>
          </w:p>
        </w:tc>
        <w:tc>
          <w:tcPr>
            <w:tcW w:type="dxa" w:w="2114"/>
          </w:tcPr>
          <w:p>
            <w:r>
              <w:rPr>
                <w:sz w:val="14"/>
              </w:rPr>
              <w:t>Malaysia delivery records held by the partner</w:t>
            </w:r>
          </w:p>
        </w:tc>
        <w:tc>
          <w:tcPr>
            <w:tcW w:type="dxa" w:w="2114"/>
          </w:tcPr>
          <w:p>
            <w:r>
              <w:rPr>
                <w:sz w:val="14"/>
              </w:rPr>
              <w:t>PD-11</w:t>
            </w:r>
          </w:p>
        </w:tc>
        <w:tc>
          <w:tcPr>
            <w:tcW w:type="dxa" w:w="2114"/>
          </w:tcPr>
          <w:p>
            <w:r>
              <w:rPr>
                <w:sz w:val="14"/>
              </w:rPr>
              <w:t>Complete Malaysia fulfilment and delivery and resolve related delivery enquiries.</w:t>
            </w:r>
          </w:p>
        </w:tc>
        <w:tc>
          <w:tcPr>
            <w:tcW w:type="dxa" w:w="2114"/>
          </w:tcPr>
          <w:p>
            <w:r>
              <w:rPr>
                <w:sz w:val="14"/>
              </w:rPr>
              <w:t>Proposed: 24 months after delivery completion, subject to review with a Singapore-qualified lawyer and alignment with any applicable RS-02 accounting or tax records.</w:t>
            </w:r>
          </w:p>
        </w:tc>
        <w:tc>
          <w:tcPr>
            <w:tcW w:type="dxa" w:w="2114"/>
          </w:tcPr>
          <w:p>
            <w:r>
              <w:rPr>
                <w:sz w:val="14"/>
              </w:rPr>
              <w:t>Delivery completion.</w:t>
            </w:r>
          </w:p>
        </w:tc>
        <w:tc>
          <w:tcPr>
            <w:tcW w:type="dxa" w:w="2114"/>
            <w:shd w:val="clear" w:color="auto" w:fill="FBF3DF"/>
          </w:tcPr>
          <w:p>
            <w:r>
              <w:rPr>
                <w:sz w:val="14"/>
              </w:rPr>
              <w:t>Open - legal input needed</w:t>
            </w:r>
          </w:p>
        </w:tc>
      </w:tr>
    </w:tbl>
    <w:p/>
    <w:p>
      <w:pPr>
        <w:pStyle w:val="Heading2"/>
      </w:pPr>
      <w:r>
        <w:t>Schedule, part 2: owners, systems and disposal</w:t>
      </w:r>
    </w:p>
    <w:tbl>
      <w:tblPr>
        <w:tblStyle w:val="TableGrid"/>
        <w:tblW w:type="auto" w:w="0"/>
        <w:tblLook w:firstColumn="1" w:firstRow="1" w:lastColumn="0" w:lastRow="0" w:noHBand="0" w:noVBand="1" w:val="04A0"/>
      </w:tblPr>
      <w:tblGrid>
        <w:gridCol w:w="2466"/>
        <w:gridCol w:w="2466"/>
        <w:gridCol w:w="2466"/>
        <w:gridCol w:w="2466"/>
        <w:gridCol w:w="2466"/>
        <w:gridCol w:w="2466"/>
      </w:tblGrid>
      <w:tr>
        <w:trPr>
          <w:tblHeader w:val="true"/>
        </w:trPr>
        <w:tc>
          <w:tcPr>
            <w:tcW w:type="dxa" w:w="2466"/>
            <w:shd w:val="clear" w:color="auto" w:fill="E9EDF1"/>
          </w:tcPr>
          <w:p>
            <w:r>
              <w:rPr>
                <w:b/>
                <w:sz w:val="14"/>
              </w:rPr>
              <w:t>ID</w:t>
            </w:r>
          </w:p>
        </w:tc>
        <w:tc>
          <w:tcPr>
            <w:tcW w:type="dxa" w:w="2466"/>
            <w:shd w:val="clear" w:color="auto" w:fill="E9EDF1"/>
          </w:tcPr>
          <w:p>
            <w:r>
              <w:rPr>
                <w:b/>
                <w:sz w:val="14"/>
              </w:rPr>
              <w:t>Owner role</w:t>
            </w:r>
          </w:p>
        </w:tc>
        <w:tc>
          <w:tcPr>
            <w:tcW w:type="dxa" w:w="2466"/>
            <w:shd w:val="clear" w:color="auto" w:fill="E9EDF1"/>
          </w:tcPr>
          <w:p>
            <w:r>
              <w:rPr>
                <w:b/>
                <w:sz w:val="14"/>
              </w:rPr>
              <w:t>System</w:t>
            </w:r>
          </w:p>
        </w:tc>
        <w:tc>
          <w:tcPr>
            <w:tcW w:type="dxa" w:w="2466"/>
            <w:shd w:val="clear" w:color="auto" w:fill="E9EDF1"/>
          </w:tcPr>
          <w:p>
            <w:r>
              <w:rPr>
                <w:b/>
                <w:sz w:val="14"/>
              </w:rPr>
              <w:t>Disposal method</w:t>
            </w:r>
          </w:p>
        </w:tc>
        <w:tc>
          <w:tcPr>
            <w:tcW w:type="dxa" w:w="2466"/>
            <w:shd w:val="clear" w:color="auto" w:fill="E9EDF1"/>
          </w:tcPr>
          <w:p>
            <w:r>
              <w:rPr>
                <w:b/>
                <w:sz w:val="14"/>
              </w:rPr>
              <w:t>Review</w:t>
            </w:r>
          </w:p>
        </w:tc>
        <w:tc>
          <w:tcPr>
            <w:tcW w:type="dxa" w:w="2466"/>
            <w:shd w:val="clear" w:color="auto" w:fill="E9EDF1"/>
          </w:tcPr>
          <w:p>
            <w:r>
              <w:rPr>
                <w:b/>
                <w:sz w:val="14"/>
              </w:rPr>
              <w:t>Evidence of disposal</w:t>
            </w:r>
          </w:p>
        </w:tc>
      </w:tr>
      <w:tr>
        <w:tc>
          <w:tcPr>
            <w:tcW w:type="dxa" w:w="2466"/>
          </w:tcPr>
          <w:p>
            <w:r>
              <w:rPr>
                <w:sz w:val="14"/>
              </w:rPr>
              <w:t>RS-01</w:t>
            </w:r>
          </w:p>
        </w:tc>
        <w:tc>
          <w:tcPr>
            <w:tcW w:type="dxa" w:w="2466"/>
          </w:tcPr>
          <w:p>
            <w:r>
              <w:rPr>
                <w:sz w:val="14"/>
              </w:rPr>
              <w:t>Head of Customer Service</w:t>
            </w:r>
          </w:p>
        </w:tc>
        <w:tc>
          <w:tcPr>
            <w:tcW w:type="dxa" w:w="2466"/>
          </w:tcPr>
          <w:p>
            <w:r>
              <w:rPr>
                <w:sz w:val="14"/>
              </w:rPr>
              <w:t>Fictional ShopCloud</w:t>
            </w:r>
          </w:p>
        </w:tc>
        <w:tc>
          <w:tcPr>
            <w:tcW w:type="dxa" w:w="2466"/>
          </w:tcPr>
          <w:p>
            <w:r>
              <w:rPr>
                <w:sz w:val="14"/>
              </w:rPr>
              <w:t>Delete or anonymise inactive accounts in Fictional ShopCloud; retain a dated deletion or anonymisation report for the IT Manager to verify.</w:t>
            </w:r>
          </w:p>
        </w:tc>
        <w:tc>
          <w:tcPr>
            <w:tcW w:type="dxa" w:w="2466"/>
          </w:tcPr>
          <w:p>
            <w:r>
              <w:rPr>
                <w:sz w:val="14"/>
              </w:rPr>
              <w:t>Annual</w:t>
            </w:r>
          </w:p>
        </w:tc>
        <w:tc>
          <w:tcPr>
            <w:tcW w:type="dxa" w:w="2466"/>
          </w:tcPr>
          <w:p>
            <w:r>
              <w:rPr>
                <w:sz w:val="14"/>
              </w:rPr>
              <w:t>Dated system report identifying disposed accounts, with the disposal action and any documented holds.</w:t>
            </w:r>
          </w:p>
        </w:tc>
      </w:tr>
      <w:tr>
        <w:tc>
          <w:tcPr>
            <w:tcW w:type="dxa" w:w="2466"/>
          </w:tcPr>
          <w:p>
            <w:r>
              <w:rPr>
                <w:sz w:val="14"/>
              </w:rPr>
              <w:t>RS-02</w:t>
            </w:r>
          </w:p>
        </w:tc>
        <w:tc>
          <w:tcPr>
            <w:tcW w:type="dxa" w:w="2466"/>
          </w:tcPr>
          <w:p>
            <w:r>
              <w:rPr>
                <w:sz w:val="14"/>
              </w:rPr>
              <w:t>Finance Director</w:t>
            </w:r>
          </w:p>
        </w:tc>
        <w:tc>
          <w:tcPr>
            <w:tcW w:type="dxa" w:w="2466"/>
          </w:tcPr>
          <w:p>
            <w:r>
              <w:rPr>
                <w:sz w:val="14"/>
              </w:rPr>
              <w:t>Fictional LedgerOne, Fictional ShopCloud, Fictional PayGate and related files; confirm record locations.</w:t>
            </w:r>
          </w:p>
        </w:tc>
        <w:tc>
          <w:tcPr>
            <w:tcW w:type="dxa" w:w="2466"/>
          </w:tcPr>
          <w:p>
            <w:r>
              <w:rPr>
                <w:sz w:val="14"/>
              </w:rPr>
              <w:t>After the confirmed period and any documented hold, delete or anonymise records in each system; obtain deletion evidence from relevant providers where needed.</w:t>
            </w:r>
          </w:p>
        </w:tc>
        <w:tc>
          <w:tcPr>
            <w:tcW w:type="dxa" w:w="2466"/>
          </w:tcPr>
          <w:p>
            <w:r>
              <w:rPr>
                <w:sz w:val="14"/>
              </w:rPr>
              <w:t>Annual</w:t>
            </w:r>
          </w:p>
        </w:tc>
        <w:tc>
          <w:tcPr>
            <w:tcW w:type="dxa" w:w="2466"/>
          </w:tcPr>
          <w:p>
            <w:r>
              <w:rPr>
                <w:sz w:val="14"/>
              </w:rPr>
              <w:t>Approved retention decision with accountant or lawyer confirmation where relevant, plus system disposal reports or provider confirmations.</w:t>
            </w:r>
          </w:p>
        </w:tc>
      </w:tr>
      <w:tr>
        <w:tc>
          <w:tcPr>
            <w:tcW w:type="dxa" w:w="2466"/>
          </w:tcPr>
          <w:p>
            <w:r>
              <w:rPr>
                <w:sz w:val="14"/>
              </w:rPr>
              <w:t>RS-03</w:t>
            </w:r>
          </w:p>
        </w:tc>
        <w:tc>
          <w:tcPr>
            <w:tcW w:type="dxa" w:w="2466"/>
          </w:tcPr>
          <w:p>
            <w:r>
              <w:rPr>
                <w:sz w:val="14"/>
              </w:rPr>
              <w:t>Sales Manager</w:t>
            </w:r>
          </w:p>
        </w:tc>
        <w:tc>
          <w:tcPr>
            <w:tcW w:type="dxa" w:w="2466"/>
          </w:tcPr>
          <w:p>
            <w:r>
              <w:rPr>
                <w:sz w:val="14"/>
              </w:rPr>
              <w:t>Fictional StockPoint and Microsoft 365; confirm the system of record.</w:t>
            </w:r>
          </w:p>
        </w:tc>
        <w:tc>
          <w:tcPr>
            <w:tcW w:type="dxa" w:w="2466"/>
          </w:tcPr>
          <w:p>
            <w:r>
              <w:rPr>
                <w:sz w:val="14"/>
              </w:rPr>
              <w:t>Delete or anonymise closed-account contact records in the system of record; retain a dated disposal report.</w:t>
            </w:r>
          </w:p>
        </w:tc>
        <w:tc>
          <w:tcPr>
            <w:tcW w:type="dxa" w:w="2466"/>
          </w:tcPr>
          <w:p>
            <w:r>
              <w:rPr>
                <w:sz w:val="14"/>
              </w:rPr>
              <w:t>Annual</w:t>
            </w:r>
          </w:p>
        </w:tc>
        <w:tc>
          <w:tcPr>
            <w:tcW w:type="dxa" w:w="2466"/>
          </w:tcPr>
          <w:p>
            <w:r>
              <w:rPr>
                <w:sz w:val="14"/>
              </w:rPr>
              <w:t>Closed-account disposal report recording the account reference, action date and any exception or hold.</w:t>
            </w:r>
          </w:p>
        </w:tc>
      </w:tr>
      <w:tr>
        <w:tc>
          <w:tcPr>
            <w:tcW w:type="dxa" w:w="2466"/>
          </w:tcPr>
          <w:p>
            <w:r>
              <w:rPr>
                <w:sz w:val="14"/>
              </w:rPr>
              <w:t>RS-04</w:t>
            </w:r>
          </w:p>
        </w:tc>
        <w:tc>
          <w:tcPr>
            <w:tcW w:type="dxa" w:w="2466"/>
          </w:tcPr>
          <w:p>
            <w:r>
              <w:rPr>
                <w:sz w:val="14"/>
              </w:rPr>
              <w:t>Finance Director</w:t>
            </w:r>
          </w:p>
        </w:tc>
        <w:tc>
          <w:tcPr>
            <w:tcW w:type="dxa" w:w="2466"/>
          </w:tcPr>
          <w:p>
            <w:r>
              <w:rPr>
                <w:sz w:val="14"/>
              </w:rPr>
              <w:t>Fictional LedgerOne and related application files in Microsoft 365; confirm locations.</w:t>
            </w:r>
          </w:p>
        </w:tc>
        <w:tc>
          <w:tcPr>
            <w:tcW w:type="dxa" w:w="2466"/>
          </w:tcPr>
          <w:p>
            <w:r>
              <w:rPr>
                <w:sz w:val="14"/>
              </w:rPr>
              <w:t>Securely delete electronic application files and confidentially destroy paper copies; retain a dated disposal record.</w:t>
            </w:r>
          </w:p>
        </w:tc>
        <w:tc>
          <w:tcPr>
            <w:tcW w:type="dxa" w:w="2466"/>
          </w:tcPr>
          <w:p>
            <w:r>
              <w:rPr>
                <w:sz w:val="14"/>
              </w:rPr>
              <w:t>Annual</w:t>
            </w:r>
          </w:p>
        </w:tc>
        <w:tc>
          <w:tcPr>
            <w:tcW w:type="dxa" w:w="2466"/>
          </w:tcPr>
          <w:p>
            <w:r>
              <w:rPr>
                <w:sz w:val="14"/>
              </w:rPr>
              <w:t>Dated deletion or confidential-destruction record linked to the application reference, without reproducing application contents.</w:t>
            </w:r>
          </w:p>
        </w:tc>
      </w:tr>
      <w:tr>
        <w:tc>
          <w:tcPr>
            <w:tcW w:type="dxa" w:w="2466"/>
          </w:tcPr>
          <w:p>
            <w:r>
              <w:rPr>
                <w:sz w:val="14"/>
              </w:rPr>
              <w:t>RS-05</w:t>
            </w:r>
          </w:p>
        </w:tc>
        <w:tc>
          <w:tcPr>
            <w:tcW w:type="dxa" w:w="2466"/>
          </w:tcPr>
          <w:p>
            <w:r>
              <w:rPr>
                <w:sz w:val="14"/>
              </w:rPr>
              <w:t>Head of Customer Service</w:t>
            </w:r>
          </w:p>
        </w:tc>
        <w:tc>
          <w:tcPr>
            <w:tcW w:type="dxa" w:w="2466"/>
          </w:tcPr>
          <w:p>
            <w:r>
              <w:rPr>
                <w:sz w:val="14"/>
              </w:rPr>
              <w:t>Fictional Helpdesk</w:t>
            </w:r>
          </w:p>
        </w:tc>
        <w:tc>
          <w:tcPr>
            <w:tcW w:type="dxa" w:w="2466"/>
          </w:tcPr>
          <w:p>
            <w:r>
              <w:rPr>
                <w:sz w:val="14"/>
              </w:rPr>
              <w:t>Delete or anonymise closed tickets and transcripts using the system's disposal function; retain a dated disposal report.</w:t>
            </w:r>
          </w:p>
        </w:tc>
        <w:tc>
          <w:tcPr>
            <w:tcW w:type="dxa" w:w="2466"/>
          </w:tcPr>
          <w:p>
            <w:r>
              <w:rPr>
                <w:sz w:val="14"/>
              </w:rPr>
              <w:t>Annual</w:t>
            </w:r>
          </w:p>
        </w:tc>
        <w:tc>
          <w:tcPr>
            <w:tcW w:type="dxa" w:w="2466"/>
          </w:tcPr>
          <w:p>
            <w:r>
              <w:rPr>
                <w:sz w:val="14"/>
              </w:rPr>
              <w:t>Dated system report showing the tickets deleted or anonymised and any records placed on hold.</w:t>
            </w:r>
          </w:p>
        </w:tc>
      </w:tr>
      <w:tr>
        <w:tc>
          <w:tcPr>
            <w:tcW w:type="dxa" w:w="2466"/>
          </w:tcPr>
          <w:p>
            <w:r>
              <w:rPr>
                <w:sz w:val="14"/>
              </w:rPr>
              <w:t>RS-06</w:t>
            </w:r>
          </w:p>
        </w:tc>
        <w:tc>
          <w:tcPr>
            <w:tcW w:type="dxa" w:w="2466"/>
          </w:tcPr>
          <w:p>
            <w:r>
              <w:rPr>
                <w:sz w:val="14"/>
              </w:rPr>
              <w:t>Sales Manager</w:t>
            </w:r>
          </w:p>
        </w:tc>
        <w:tc>
          <w:tcPr>
            <w:tcW w:type="dxa" w:w="2466"/>
          </w:tcPr>
          <w:p>
            <w:r>
              <w:rPr>
                <w:sz w:val="14"/>
              </w:rPr>
              <w:t>Sales-line recording system; system and configuration not supplied.</w:t>
            </w:r>
          </w:p>
        </w:tc>
        <w:tc>
          <w:tcPr>
            <w:tcW w:type="dxa" w:w="2466"/>
          </w:tcPr>
          <w:p>
            <w:r>
              <w:rPr>
                <w:sz w:val="14"/>
              </w:rPr>
              <w:t>Delete recordings through the recording system's retention controls; retain a dated disposal log.</w:t>
            </w:r>
          </w:p>
        </w:tc>
        <w:tc>
          <w:tcPr>
            <w:tcW w:type="dxa" w:w="2466"/>
          </w:tcPr>
          <w:p>
            <w:r>
              <w:rPr>
                <w:sz w:val="14"/>
              </w:rPr>
              <w:t>Annual</w:t>
            </w:r>
          </w:p>
        </w:tc>
        <w:tc>
          <w:tcPr>
            <w:tcW w:type="dxa" w:w="2466"/>
          </w:tcPr>
          <w:p>
            <w:r>
              <w:rPr>
                <w:sz w:val="14"/>
              </w:rPr>
              <w:t>System configuration record and dated deletion log; verify whether recording is enabled and how deletion is performed.</w:t>
            </w:r>
          </w:p>
        </w:tc>
      </w:tr>
      <w:tr>
        <w:tc>
          <w:tcPr>
            <w:tcW w:type="dxa" w:w="2466"/>
          </w:tcPr>
          <w:p>
            <w:r>
              <w:rPr>
                <w:sz w:val="14"/>
              </w:rPr>
              <w:t>RS-07</w:t>
            </w:r>
          </w:p>
        </w:tc>
        <w:tc>
          <w:tcPr>
            <w:tcW w:type="dxa" w:w="2466"/>
          </w:tcPr>
          <w:p>
            <w:r>
              <w:rPr>
                <w:sz w:val="14"/>
              </w:rPr>
              <w:t>Head of Marketing</w:t>
            </w:r>
          </w:p>
        </w:tc>
        <w:tc>
          <w:tcPr>
            <w:tcW w:type="dxa" w:w="2466"/>
          </w:tcPr>
          <w:p>
            <w:r>
              <w:rPr>
                <w:sz w:val="14"/>
              </w:rPr>
              <w:t>Fictional MailBurst and showroom sign-up records; confirm storage locations.</w:t>
            </w:r>
          </w:p>
        </w:tc>
        <w:tc>
          <w:tcPr>
            <w:tcW w:type="dxa" w:w="2466"/>
          </w:tcPr>
          <w:p>
            <w:r>
              <w:rPr>
                <w:sz w:val="14"/>
              </w:rPr>
              <w:t>Remove withdrawn contacts from active campaigns while retaining only the approved suppression evidence; securely destroy redundant paper sign-up records.</w:t>
            </w:r>
          </w:p>
        </w:tc>
        <w:tc>
          <w:tcPr>
            <w:tcW w:type="dxa" w:w="2466"/>
          </w:tcPr>
          <w:p>
            <w:r>
              <w:rPr>
                <w:sz w:val="14"/>
              </w:rPr>
              <w:t>Annual</w:t>
            </w:r>
          </w:p>
        </w:tc>
        <w:tc>
          <w:tcPr>
            <w:tcW w:type="dxa" w:w="2466"/>
          </w:tcPr>
          <w:p>
            <w:r>
              <w:rPr>
                <w:sz w:val="14"/>
              </w:rPr>
              <w:t>Dated MailBurst suppression and deletion report, disposal record for paper forms, and retained evidence of the person's marketing choice.</w:t>
            </w:r>
          </w:p>
        </w:tc>
      </w:tr>
      <w:tr>
        <w:tc>
          <w:tcPr>
            <w:tcW w:type="dxa" w:w="2466"/>
          </w:tcPr>
          <w:p>
            <w:r>
              <w:rPr>
                <w:sz w:val="14"/>
              </w:rPr>
              <w:t>RS-08</w:t>
            </w:r>
          </w:p>
        </w:tc>
        <w:tc>
          <w:tcPr>
            <w:tcW w:type="dxa" w:w="2466"/>
          </w:tcPr>
          <w:p>
            <w:r>
              <w:rPr>
                <w:sz w:val="14"/>
              </w:rPr>
              <w:t>Head of Marketing</w:t>
            </w:r>
          </w:p>
        </w:tc>
        <w:tc>
          <w:tcPr>
            <w:tcW w:type="dxa" w:w="2466"/>
          </w:tcPr>
          <w:p>
            <w:r>
              <w:rPr>
                <w:sz w:val="14"/>
              </w:rPr>
              <w:t>Campaign record system; system not supplied.</w:t>
            </w:r>
          </w:p>
        </w:tc>
        <w:tc>
          <w:tcPr>
            <w:tcW w:type="dxa" w:w="2466"/>
          </w:tcPr>
          <w:p>
            <w:r>
              <w:rPr>
                <w:sz w:val="14"/>
              </w:rPr>
              <w:t>Delete or securely destroy campaign check records at the end of the approved period; retain a dated disposal log.</w:t>
            </w:r>
          </w:p>
        </w:tc>
        <w:tc>
          <w:tcPr>
            <w:tcW w:type="dxa" w:w="2466"/>
          </w:tcPr>
          <w:p>
            <w:r>
              <w:rPr>
                <w:sz w:val="14"/>
              </w:rPr>
              <w:t>Annual</w:t>
            </w:r>
          </w:p>
        </w:tc>
        <w:tc>
          <w:tcPr>
            <w:tcW w:type="dxa" w:w="2466"/>
          </w:tcPr>
          <w:p>
            <w:r>
              <w:rPr>
                <w:sz w:val="14"/>
              </w:rPr>
              <w:t>Campaign DNC check and suppression records, followed by a dated deletion record. Checks must be made within the validity period set by the PDPC (confirm the current period).</w:t>
            </w:r>
          </w:p>
        </w:tc>
      </w:tr>
      <w:tr>
        <w:tc>
          <w:tcPr>
            <w:tcW w:type="dxa" w:w="2466"/>
          </w:tcPr>
          <w:p>
            <w:r>
              <w:rPr>
                <w:sz w:val="14"/>
              </w:rPr>
              <w:t>RS-09</w:t>
            </w:r>
          </w:p>
        </w:tc>
        <w:tc>
          <w:tcPr>
            <w:tcW w:type="dxa" w:w="2466"/>
          </w:tcPr>
          <w:p>
            <w:r>
              <w:rPr>
                <w:sz w:val="14"/>
              </w:rPr>
              <w:t>Showroom Supervisor</w:t>
            </w:r>
          </w:p>
        </w:tc>
        <w:tc>
          <w:tcPr>
            <w:tcW w:type="dxa" w:w="2466"/>
          </w:tcPr>
          <w:p>
            <w:r>
              <w:rPr>
                <w:sz w:val="14"/>
              </w:rPr>
              <w:t>Showroom CCTV recorder (on site)</w:t>
            </w:r>
          </w:p>
        </w:tc>
        <w:tc>
          <w:tcPr>
            <w:tcW w:type="dxa" w:w="2466"/>
          </w:tcPr>
          <w:p>
            <w:r>
              <w:rPr>
                <w:sz w:val="14"/>
              </w:rPr>
              <w:t>Allow verified automatic overwrite; document any export and secure deletion of incident footage when the hold ends.</w:t>
            </w:r>
          </w:p>
        </w:tc>
        <w:tc>
          <w:tcPr>
            <w:tcW w:type="dxa" w:w="2466"/>
          </w:tcPr>
          <w:p>
            <w:r>
              <w:rPr>
                <w:sz w:val="14"/>
              </w:rPr>
              <w:t>Annual</w:t>
            </w:r>
          </w:p>
        </w:tc>
        <w:tc>
          <w:tcPr>
            <w:tcW w:type="dxa" w:w="2466"/>
          </w:tcPr>
          <w:p>
            <w:r>
              <w:rPr>
                <w:sz w:val="14"/>
              </w:rPr>
              <w:t>Dated configuration check confirming overwrite settings, plus an incident-hold and deletion log where footage is exported.</w:t>
            </w:r>
          </w:p>
        </w:tc>
      </w:tr>
      <w:tr>
        <w:tc>
          <w:tcPr>
            <w:tcW w:type="dxa" w:w="2466"/>
          </w:tcPr>
          <w:p>
            <w:r>
              <w:rPr>
                <w:sz w:val="14"/>
              </w:rPr>
              <w:t>RS-10</w:t>
            </w:r>
          </w:p>
        </w:tc>
        <w:tc>
          <w:tcPr>
            <w:tcW w:type="dxa" w:w="2466"/>
          </w:tcPr>
          <w:p>
            <w:r>
              <w:rPr>
                <w:sz w:val="14"/>
              </w:rPr>
              <w:t>Warehouse Manager</w:t>
            </w:r>
          </w:p>
        </w:tc>
        <w:tc>
          <w:tcPr>
            <w:tcW w:type="dxa" w:w="2466"/>
          </w:tcPr>
          <w:p>
            <w:r>
              <w:rPr>
                <w:sz w:val="14"/>
              </w:rPr>
              <w:t>Visitor log; format and storage system not supplied.</w:t>
            </w:r>
          </w:p>
        </w:tc>
        <w:tc>
          <w:tcPr>
            <w:tcW w:type="dxa" w:w="2466"/>
          </w:tcPr>
          <w:p>
            <w:r>
              <w:rPr>
                <w:sz w:val="14"/>
              </w:rPr>
              <w:t>Securely destroy paper logs or delete electronic entries; retain a dated disposal record.</w:t>
            </w:r>
          </w:p>
        </w:tc>
        <w:tc>
          <w:tcPr>
            <w:tcW w:type="dxa" w:w="2466"/>
          </w:tcPr>
          <w:p>
            <w:r>
              <w:rPr>
                <w:sz w:val="14"/>
              </w:rPr>
              <w:t>Annual</w:t>
            </w:r>
          </w:p>
        </w:tc>
        <w:tc>
          <w:tcPr>
            <w:tcW w:type="dxa" w:w="2466"/>
          </w:tcPr>
          <w:p>
            <w:r>
              <w:rPr>
                <w:sz w:val="14"/>
              </w:rPr>
              <w:t>Dated destruction record or electronic deletion report showing the period covered.</w:t>
            </w:r>
          </w:p>
        </w:tc>
      </w:tr>
      <w:tr>
        <w:tc>
          <w:tcPr>
            <w:tcW w:type="dxa" w:w="2466"/>
          </w:tcPr>
          <w:p>
            <w:r>
              <w:rPr>
                <w:sz w:val="14"/>
              </w:rPr>
              <w:t>RS-11</w:t>
            </w:r>
          </w:p>
        </w:tc>
        <w:tc>
          <w:tcPr>
            <w:tcW w:type="dxa" w:w="2466"/>
          </w:tcPr>
          <w:p>
            <w:r>
              <w:rPr>
                <w:sz w:val="14"/>
              </w:rPr>
              <w:t>HR Manager</w:t>
            </w:r>
          </w:p>
        </w:tc>
        <w:tc>
          <w:tcPr>
            <w:tcW w:type="dxa" w:w="2466"/>
          </w:tcPr>
          <w:p>
            <w:r>
              <w:rPr>
                <w:sz w:val="14"/>
              </w:rPr>
              <w:t>Recruitment files and Microsoft 365; system of record not supplied.</w:t>
            </w:r>
          </w:p>
        </w:tc>
        <w:tc>
          <w:tcPr>
            <w:tcW w:type="dxa" w:w="2466"/>
          </w:tcPr>
          <w:p>
            <w:r>
              <w:rPr>
                <w:sz w:val="14"/>
              </w:rPr>
              <w:t>Securely delete electronic application files and confidentially destroy paper copies; retain a dated disposal record.</w:t>
            </w:r>
          </w:p>
        </w:tc>
        <w:tc>
          <w:tcPr>
            <w:tcW w:type="dxa" w:w="2466"/>
          </w:tcPr>
          <w:p>
            <w:r>
              <w:rPr>
                <w:sz w:val="14"/>
              </w:rPr>
              <w:t>Annual</w:t>
            </w:r>
          </w:p>
        </w:tc>
        <w:tc>
          <w:tcPr>
            <w:tcW w:type="dxa" w:w="2466"/>
          </w:tcPr>
          <w:p>
            <w:r>
              <w:rPr>
                <w:sz w:val="14"/>
              </w:rPr>
              <w:t>Dated deletion or confidential-destruction record linked to the recruitment case reference.</w:t>
            </w:r>
          </w:p>
        </w:tc>
      </w:tr>
      <w:tr>
        <w:tc>
          <w:tcPr>
            <w:tcW w:type="dxa" w:w="2466"/>
          </w:tcPr>
          <w:p>
            <w:r>
              <w:rPr>
                <w:sz w:val="14"/>
              </w:rPr>
              <w:t>RS-12</w:t>
            </w:r>
          </w:p>
        </w:tc>
        <w:tc>
          <w:tcPr>
            <w:tcW w:type="dxa" w:w="2466"/>
          </w:tcPr>
          <w:p>
            <w:r>
              <w:rPr>
                <w:sz w:val="14"/>
              </w:rPr>
              <w:t>HR Manager</w:t>
            </w:r>
          </w:p>
        </w:tc>
        <w:tc>
          <w:tcPr>
            <w:tcW w:type="dxa" w:w="2466"/>
          </w:tcPr>
          <w:p>
            <w:r>
              <w:rPr>
                <w:sz w:val="14"/>
              </w:rPr>
              <w:t>Fictional PeopleDesk and Microsoft 365; confirm the systems of record.</w:t>
            </w:r>
          </w:p>
        </w:tc>
        <w:tc>
          <w:tcPr>
            <w:tcW w:type="dxa" w:w="2466"/>
          </w:tcPr>
          <w:p>
            <w:r>
              <w:rPr>
                <w:sz w:val="14"/>
              </w:rPr>
              <w:t>Delete or securely destroy HR records at the end of the approved period, retaining records subject to a documented hold; obtain provider evidence where needed.</w:t>
            </w:r>
          </w:p>
        </w:tc>
        <w:tc>
          <w:tcPr>
            <w:tcW w:type="dxa" w:w="2466"/>
          </w:tcPr>
          <w:p>
            <w:r>
              <w:rPr>
                <w:sz w:val="14"/>
              </w:rPr>
              <w:t>Annual</w:t>
            </w:r>
          </w:p>
        </w:tc>
        <w:tc>
          <w:tcPr>
            <w:tcW w:type="dxa" w:w="2466"/>
          </w:tcPr>
          <w:p>
            <w:r>
              <w:rPr>
                <w:sz w:val="14"/>
              </w:rPr>
              <w:t>Approved retention decision and dated system deletion or destruction record, with documented exceptions and holds.</w:t>
            </w:r>
          </w:p>
        </w:tc>
      </w:tr>
      <w:tr>
        <w:tc>
          <w:tcPr>
            <w:tcW w:type="dxa" w:w="2466"/>
          </w:tcPr>
          <w:p>
            <w:r>
              <w:rPr>
                <w:sz w:val="14"/>
              </w:rPr>
              <w:t>RS-13</w:t>
            </w:r>
          </w:p>
        </w:tc>
        <w:tc>
          <w:tcPr>
            <w:tcW w:type="dxa" w:w="2466"/>
          </w:tcPr>
          <w:p>
            <w:r>
              <w:rPr>
                <w:sz w:val="14"/>
              </w:rPr>
              <w:t>Finance Director</w:t>
            </w:r>
          </w:p>
        </w:tc>
        <w:tc>
          <w:tcPr>
            <w:tcW w:type="dxa" w:w="2466"/>
          </w:tcPr>
          <w:p>
            <w:r>
              <w:rPr>
                <w:sz w:val="14"/>
              </w:rPr>
              <w:t>Fictional PeopleDesk and Fictional LedgerOne; confirm systems and data flows.</w:t>
            </w:r>
          </w:p>
        </w:tc>
        <w:tc>
          <w:tcPr>
            <w:tcW w:type="dxa" w:w="2466"/>
          </w:tcPr>
          <w:p>
            <w:r>
              <w:rPr>
                <w:sz w:val="14"/>
              </w:rPr>
              <w:t>After the confirmed period and any documented hold, securely delete or destroy records in each system; retain disposal evidence.</w:t>
            </w:r>
          </w:p>
        </w:tc>
        <w:tc>
          <w:tcPr>
            <w:tcW w:type="dxa" w:w="2466"/>
          </w:tcPr>
          <w:p>
            <w:r>
              <w:rPr>
                <w:sz w:val="14"/>
              </w:rPr>
              <w:t>Annual</w:t>
            </w:r>
          </w:p>
        </w:tc>
        <w:tc>
          <w:tcPr>
            <w:tcW w:type="dxa" w:w="2466"/>
          </w:tcPr>
          <w:p>
            <w:r>
              <w:rPr>
                <w:sz w:val="14"/>
              </w:rPr>
              <w:t>Accountant or lawyer confirmation where relevant, approved schedule and dated deletion or destruction reports.</w:t>
            </w:r>
          </w:p>
        </w:tc>
      </w:tr>
      <w:tr>
        <w:tc>
          <w:tcPr>
            <w:tcW w:type="dxa" w:w="2466"/>
          </w:tcPr>
          <w:p>
            <w:r>
              <w:rPr>
                <w:sz w:val="14"/>
              </w:rPr>
              <w:t>RS-14</w:t>
            </w:r>
          </w:p>
        </w:tc>
        <w:tc>
          <w:tcPr>
            <w:tcW w:type="dxa" w:w="2466"/>
          </w:tcPr>
          <w:p>
            <w:r>
              <w:rPr>
                <w:sz w:val="14"/>
              </w:rPr>
              <w:t>HR Manager</w:t>
            </w:r>
          </w:p>
        </w:tc>
        <w:tc>
          <w:tcPr>
            <w:tcW w:type="dxa" w:w="2466"/>
          </w:tcPr>
          <w:p>
            <w:r>
              <w:rPr>
                <w:sz w:val="14"/>
              </w:rPr>
              <w:t>Fictional PeopleDesk and HR files; confirm the system of record.</w:t>
            </w:r>
          </w:p>
        </w:tc>
        <w:tc>
          <w:tcPr>
            <w:tcW w:type="dxa" w:w="2466"/>
          </w:tcPr>
          <w:p>
            <w:r>
              <w:rPr>
                <w:sz w:val="14"/>
              </w:rPr>
              <w:t>Securely delete electronic certificates and confidentially destroy paper copies; retain a dated disposal record.</w:t>
            </w:r>
          </w:p>
        </w:tc>
        <w:tc>
          <w:tcPr>
            <w:tcW w:type="dxa" w:w="2466"/>
          </w:tcPr>
          <w:p>
            <w:r>
              <w:rPr>
                <w:sz w:val="14"/>
              </w:rPr>
              <w:t>Annual</w:t>
            </w:r>
          </w:p>
        </w:tc>
        <w:tc>
          <w:tcPr>
            <w:tcW w:type="dxa" w:w="2466"/>
          </w:tcPr>
          <w:p>
            <w:r>
              <w:rPr>
                <w:sz w:val="14"/>
              </w:rPr>
              <w:t>Dated deletion or destruction record, with access and hold exceptions documented.</w:t>
            </w:r>
          </w:p>
        </w:tc>
      </w:tr>
      <w:tr>
        <w:tc>
          <w:tcPr>
            <w:tcW w:type="dxa" w:w="2466"/>
          </w:tcPr>
          <w:p>
            <w:r>
              <w:rPr>
                <w:sz w:val="14"/>
              </w:rPr>
              <w:t>RS-15</w:t>
            </w:r>
          </w:p>
        </w:tc>
        <w:tc>
          <w:tcPr>
            <w:tcW w:type="dxa" w:w="2466"/>
          </w:tcPr>
          <w:p>
            <w:r>
              <w:rPr>
                <w:sz w:val="14"/>
              </w:rPr>
              <w:t>HR Manager</w:t>
            </w:r>
          </w:p>
        </w:tc>
        <w:tc>
          <w:tcPr>
            <w:tcW w:type="dxa" w:w="2466"/>
          </w:tcPr>
          <w:p>
            <w:r>
              <w:rPr>
                <w:sz w:val="14"/>
              </w:rPr>
              <w:t>Onboarding files; storage system not supplied.</w:t>
            </w:r>
          </w:p>
        </w:tc>
        <w:tc>
          <w:tcPr>
            <w:tcW w:type="dxa" w:w="2466"/>
          </w:tcPr>
          <w:p>
            <w:r>
              <w:rPr>
                <w:sz w:val="14"/>
              </w:rPr>
              <w:t>If retention is not justified, securely delete electronic copies and confidentially destroy paper copies; retain a disposal record without reproducing the identity details.</w:t>
            </w:r>
          </w:p>
        </w:tc>
        <w:tc>
          <w:tcPr>
            <w:tcW w:type="dxa" w:w="2466"/>
          </w:tcPr>
          <w:p>
            <w:r>
              <w:rPr>
                <w:sz w:val="14"/>
              </w:rPr>
              <w:t>Trigger: necessity review</w:t>
            </w:r>
          </w:p>
        </w:tc>
        <w:tc>
          <w:tcPr>
            <w:tcW w:type="dxa" w:w="2466"/>
          </w:tcPr>
          <w:p>
            <w:r>
              <w:rPr>
                <w:sz w:val="14"/>
              </w:rPr>
              <w:t>Documented necessity decision, lawyer confirmation where needed, and dated disposal record for copies no longer required.</w:t>
            </w:r>
          </w:p>
        </w:tc>
      </w:tr>
      <w:tr>
        <w:tc>
          <w:tcPr>
            <w:tcW w:type="dxa" w:w="2466"/>
          </w:tcPr>
          <w:p>
            <w:r>
              <w:rPr>
                <w:sz w:val="14"/>
              </w:rPr>
              <w:t>RS-16</w:t>
            </w:r>
          </w:p>
        </w:tc>
        <w:tc>
          <w:tcPr>
            <w:tcW w:type="dxa" w:w="2466"/>
          </w:tcPr>
          <w:p>
            <w:r>
              <w:rPr>
                <w:sz w:val="14"/>
              </w:rPr>
              <w:t>Head of Operations</w:t>
            </w:r>
          </w:p>
        </w:tc>
        <w:tc>
          <w:tcPr>
            <w:tcW w:type="dxa" w:w="2466"/>
          </w:tcPr>
          <w:p>
            <w:r>
              <w:rPr>
                <w:sz w:val="14"/>
              </w:rPr>
              <w:t>Fictional Helpdesk or a controlled request log in Microsoft 365; system not yet established.</w:t>
            </w:r>
          </w:p>
        </w:tc>
        <w:tc>
          <w:tcPr>
            <w:tcW w:type="dxa" w:w="2466"/>
          </w:tcPr>
          <w:p>
            <w:r>
              <w:rPr>
                <w:sz w:val="14"/>
              </w:rPr>
              <w:t>Delete or securely destroy closed request records at the end of the approved period; retain a dated disposal log.</w:t>
            </w:r>
          </w:p>
        </w:tc>
        <w:tc>
          <w:tcPr>
            <w:tcW w:type="dxa" w:w="2466"/>
          </w:tcPr>
          <w:p>
            <w:r>
              <w:rPr>
                <w:sz w:val="14"/>
              </w:rPr>
              <w:t>Annual</w:t>
            </w:r>
          </w:p>
        </w:tc>
        <w:tc>
          <w:tcPr>
            <w:tcW w:type="dxa" w:w="2466"/>
          </w:tcPr>
          <w:p>
            <w:r>
              <w:rPr>
                <w:sz w:val="14"/>
              </w:rPr>
              <w:t>Dated disposal report linked to request references, with any holds and exceptions recorded.</w:t>
            </w:r>
          </w:p>
        </w:tc>
      </w:tr>
      <w:tr>
        <w:tc>
          <w:tcPr>
            <w:tcW w:type="dxa" w:w="2466"/>
          </w:tcPr>
          <w:p>
            <w:r>
              <w:rPr>
                <w:sz w:val="14"/>
              </w:rPr>
              <w:t>RS-17</w:t>
            </w:r>
          </w:p>
        </w:tc>
        <w:tc>
          <w:tcPr>
            <w:tcW w:type="dxa" w:w="2466"/>
          </w:tcPr>
          <w:p>
            <w:r>
              <w:rPr>
                <w:sz w:val="14"/>
              </w:rPr>
              <w:t>Head of Operations</w:t>
            </w:r>
          </w:p>
        </w:tc>
        <w:tc>
          <w:tcPr>
            <w:tcW w:type="dxa" w:w="2466"/>
          </w:tcPr>
          <w:p>
            <w:r>
              <w:rPr>
                <w:sz w:val="14"/>
              </w:rPr>
              <w:t>Microsoft 365 and controlled incident files; confirm the system of record.</w:t>
            </w:r>
          </w:p>
        </w:tc>
        <w:tc>
          <w:tcPr>
            <w:tcW w:type="dxa" w:w="2466"/>
          </w:tcPr>
          <w:p>
            <w:r>
              <w:rPr>
                <w:sz w:val="14"/>
              </w:rPr>
              <w:t>Securely delete electronic records and destroy paper copies after the approved period; preserve any records on a documented hold.</w:t>
            </w:r>
          </w:p>
        </w:tc>
        <w:tc>
          <w:tcPr>
            <w:tcW w:type="dxa" w:w="2466"/>
          </w:tcPr>
          <w:p>
            <w:r>
              <w:rPr>
                <w:sz w:val="14"/>
              </w:rPr>
              <w:t>Annual</w:t>
            </w:r>
          </w:p>
        </w:tc>
        <w:tc>
          <w:tcPr>
            <w:tcW w:type="dxa" w:w="2466"/>
          </w:tcPr>
          <w:p>
            <w:r>
              <w:rPr>
                <w:sz w:val="14"/>
              </w:rPr>
              <w:t>Approved retention decision and dated deletion or destruction record, with incident reference and hold exceptions.</w:t>
            </w:r>
          </w:p>
        </w:tc>
      </w:tr>
      <w:tr>
        <w:tc>
          <w:tcPr>
            <w:tcW w:type="dxa" w:w="2466"/>
          </w:tcPr>
          <w:p>
            <w:r>
              <w:rPr>
                <w:sz w:val="14"/>
              </w:rPr>
              <w:t>RS-18</w:t>
            </w:r>
          </w:p>
        </w:tc>
        <w:tc>
          <w:tcPr>
            <w:tcW w:type="dxa" w:w="2466"/>
          </w:tcPr>
          <w:p>
            <w:r>
              <w:rPr>
                <w:sz w:val="14"/>
              </w:rPr>
              <w:t>IT Manager</w:t>
            </w:r>
          </w:p>
        </w:tc>
        <w:tc>
          <w:tcPr>
            <w:tcW w:type="dxa" w:w="2466"/>
          </w:tcPr>
          <w:p>
            <w:r>
              <w:rPr>
                <w:sz w:val="14"/>
              </w:rPr>
              <w:t>Microsoft 365 and other relevant business systems; log sources not fully identified.</w:t>
            </w:r>
          </w:p>
        </w:tc>
        <w:tc>
          <w:tcPr>
            <w:tcW w:type="dxa" w:w="2466"/>
          </w:tcPr>
          <w:p>
            <w:r>
              <w:rPr>
                <w:sz w:val="14"/>
              </w:rPr>
              <w:t>Apply verified system expiry or deletion settings; retain configuration evidence and a dated deletion or expiry report.</w:t>
            </w:r>
          </w:p>
        </w:tc>
        <w:tc>
          <w:tcPr>
            <w:tcW w:type="dxa" w:w="2466"/>
          </w:tcPr>
          <w:p>
            <w:r>
              <w:rPr>
                <w:sz w:val="14"/>
              </w:rPr>
              <w:t>Annual</w:t>
            </w:r>
          </w:p>
        </w:tc>
        <w:tc>
          <w:tcPr>
            <w:tcW w:type="dxa" w:w="2466"/>
          </w:tcPr>
          <w:p>
            <w:r>
              <w:rPr>
                <w:sz w:val="14"/>
              </w:rPr>
              <w:t>System-by-system retention configuration, dated access review and evidence of expiry or deletion.</w:t>
            </w:r>
          </w:p>
        </w:tc>
      </w:tr>
      <w:tr>
        <w:tc>
          <w:tcPr>
            <w:tcW w:type="dxa" w:w="2466"/>
          </w:tcPr>
          <w:p>
            <w:r>
              <w:rPr>
                <w:sz w:val="14"/>
              </w:rPr>
              <w:t>RS-19</w:t>
            </w:r>
          </w:p>
        </w:tc>
        <w:tc>
          <w:tcPr>
            <w:tcW w:type="dxa" w:w="2466"/>
          </w:tcPr>
          <w:p>
            <w:r>
              <w:rPr>
                <w:sz w:val="14"/>
              </w:rPr>
              <w:t>Finance Director</w:t>
            </w:r>
          </w:p>
        </w:tc>
        <w:tc>
          <w:tcPr>
            <w:tcW w:type="dxa" w:w="2466"/>
          </w:tcPr>
          <w:p>
            <w:r>
              <w:rPr>
                <w:sz w:val="14"/>
              </w:rPr>
              <w:t>Fictional LedgerOne and Microsoft 365; confirm the system of record.</w:t>
            </w:r>
          </w:p>
        </w:tc>
        <w:tc>
          <w:tcPr>
            <w:tcW w:type="dxa" w:w="2466"/>
          </w:tcPr>
          <w:p>
            <w:r>
              <w:rPr>
                <w:sz w:val="14"/>
              </w:rPr>
              <w:t>Delete or anonymise contact records in the system of record; retain a dated disposal report.</w:t>
            </w:r>
          </w:p>
        </w:tc>
        <w:tc>
          <w:tcPr>
            <w:tcW w:type="dxa" w:w="2466"/>
          </w:tcPr>
          <w:p>
            <w:r>
              <w:rPr>
                <w:sz w:val="14"/>
              </w:rPr>
              <w:t>Annual</w:t>
            </w:r>
          </w:p>
        </w:tc>
        <w:tc>
          <w:tcPr>
            <w:tcW w:type="dxa" w:w="2466"/>
          </w:tcPr>
          <w:p>
            <w:r>
              <w:rPr>
                <w:sz w:val="14"/>
              </w:rPr>
              <w:t>Dated deletion or anonymisation report linked to the supplier record, with transaction-record exceptions documented.</w:t>
            </w:r>
          </w:p>
        </w:tc>
      </w:tr>
      <w:tr>
        <w:tc>
          <w:tcPr>
            <w:tcW w:type="dxa" w:w="2466"/>
          </w:tcPr>
          <w:p>
            <w:r>
              <w:rPr>
                <w:sz w:val="14"/>
              </w:rPr>
              <w:t>RS-20</w:t>
            </w:r>
          </w:p>
        </w:tc>
        <w:tc>
          <w:tcPr>
            <w:tcW w:type="dxa" w:w="2466"/>
          </w:tcPr>
          <w:p>
            <w:r>
              <w:rPr>
                <w:sz w:val="14"/>
              </w:rPr>
              <w:t>Warehouse Manager</w:t>
            </w:r>
          </w:p>
        </w:tc>
        <w:tc>
          <w:tcPr>
            <w:tcW w:type="dxa" w:w="2466"/>
          </w:tcPr>
          <w:p>
            <w:r>
              <w:rPr>
                <w:sz w:val="14"/>
              </w:rPr>
              <w:t>Records held by Tanjung Contoh Logistics Sdn. Bhd. (DV-01); partner system not supplied.</w:t>
            </w:r>
          </w:p>
        </w:tc>
        <w:tc>
          <w:tcPr>
            <w:tcW w:type="dxa" w:w="2466"/>
          </w:tcPr>
          <w:p>
            <w:r>
              <w:rPr>
                <w:sz w:val="14"/>
              </w:rPr>
              <w:t>Request DV-01 to delete or anonymise records at the end of the approved period and provide written confirmation; retain the confirmation.</w:t>
            </w:r>
          </w:p>
        </w:tc>
        <w:tc>
          <w:tcPr>
            <w:tcW w:type="dxa" w:w="2466"/>
          </w:tcPr>
          <w:p>
            <w:r>
              <w:rPr>
                <w:sz w:val="14"/>
              </w:rPr>
              <w:t>Annual</w:t>
            </w:r>
          </w:p>
        </w:tc>
        <w:tc>
          <w:tcPr>
            <w:tcW w:type="dxa" w:w="2466"/>
          </w:tcPr>
          <w:p>
            <w:r>
              <w:rPr>
                <w:sz w:val="14"/>
              </w:rPr>
              <w:t>Agreed retention and deletion terms, dated written deletion or anonymisation confirmation from DV-01, and any documented hold.</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B8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B8 Retention schedule</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